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A2162" w14:textId="77777777" w:rsidR="00362305" w:rsidRPr="00316415" w:rsidRDefault="00362305" w:rsidP="00362305">
      <w:pPr>
        <w:jc w:val="center"/>
        <w:rPr>
          <w:rFonts w:ascii="Arial" w:hAnsi="Arial" w:cs="Arial"/>
          <w:b/>
          <w:bCs/>
          <w:sz w:val="22"/>
          <w:szCs w:val="22"/>
          <w:lang w:val="es-PA"/>
        </w:rPr>
      </w:pPr>
      <w:r w:rsidRPr="00316415">
        <w:rPr>
          <w:rFonts w:ascii="Arial" w:hAnsi="Arial" w:cs="Arial"/>
          <w:b/>
          <w:bCs/>
          <w:sz w:val="22"/>
          <w:szCs w:val="22"/>
          <w:lang w:val="es-PA"/>
        </w:rPr>
        <w:t>Comentarios</w:t>
      </w:r>
    </w:p>
    <w:p w14:paraId="6DBF4D0B" w14:textId="56DBFAE2" w:rsidR="00362305" w:rsidRPr="00316415" w:rsidRDefault="00362305" w:rsidP="00362305">
      <w:pPr>
        <w:jc w:val="center"/>
        <w:rPr>
          <w:rFonts w:ascii="Arial" w:hAnsi="Arial" w:cs="Arial"/>
          <w:b/>
          <w:bCs/>
          <w:i/>
          <w:iCs/>
          <w:sz w:val="22"/>
          <w:szCs w:val="22"/>
          <w:lang w:val="es-PA"/>
        </w:rPr>
      </w:pPr>
      <w:r w:rsidRPr="00316415">
        <w:rPr>
          <w:rFonts w:ascii="Arial" w:hAnsi="Arial" w:cs="Arial"/>
          <w:b/>
          <w:bCs/>
          <w:sz w:val="22"/>
          <w:szCs w:val="22"/>
          <w:lang w:val="es-PA"/>
        </w:rPr>
        <w:t xml:space="preserve">Proyecto Acuerdo </w:t>
      </w:r>
      <w:r w:rsidRPr="00316415">
        <w:rPr>
          <w:rFonts w:ascii="Arial" w:hAnsi="Arial" w:cs="Arial"/>
          <w:b/>
          <w:bCs/>
          <w:i/>
          <w:iCs/>
          <w:sz w:val="22"/>
          <w:szCs w:val="22"/>
          <w:lang w:val="es-PA"/>
        </w:rPr>
        <w:t xml:space="preserve">"Que establece los Lineamientos Generales para la </w:t>
      </w:r>
      <w:r w:rsidR="00D67E20" w:rsidRPr="00316415">
        <w:rPr>
          <w:rFonts w:ascii="Arial" w:hAnsi="Arial" w:cs="Arial"/>
          <w:b/>
          <w:bCs/>
          <w:i/>
          <w:iCs/>
          <w:sz w:val="22"/>
          <w:szCs w:val="22"/>
          <w:lang w:val="es-PA"/>
        </w:rPr>
        <w:t>Gestión</w:t>
      </w:r>
      <w:r w:rsidRPr="00316415">
        <w:rPr>
          <w:rFonts w:ascii="Arial" w:hAnsi="Arial" w:cs="Arial"/>
          <w:b/>
          <w:bCs/>
          <w:i/>
          <w:iCs/>
          <w:sz w:val="22"/>
          <w:szCs w:val="22"/>
          <w:lang w:val="es-PA"/>
        </w:rPr>
        <w:t xml:space="preserve"> Integral de Riesgos"</w:t>
      </w:r>
    </w:p>
    <w:p w14:paraId="264021B7" w14:textId="77777777" w:rsidR="00362305" w:rsidRPr="00316415" w:rsidRDefault="00362305" w:rsidP="00E23D2E">
      <w:pPr>
        <w:jc w:val="both"/>
        <w:rPr>
          <w:rFonts w:ascii="Arial" w:hAnsi="Arial" w:cs="Arial"/>
          <w:b/>
          <w:bCs/>
          <w:sz w:val="22"/>
          <w:szCs w:val="22"/>
          <w:lang w:val="es-PA"/>
        </w:rPr>
      </w:pPr>
    </w:p>
    <w:p w14:paraId="36C761DA" w14:textId="5F8FC521" w:rsidR="00763093" w:rsidRPr="00316415" w:rsidRDefault="00763093" w:rsidP="00E23D2E">
      <w:pPr>
        <w:jc w:val="both"/>
        <w:rPr>
          <w:rFonts w:ascii="Arial" w:hAnsi="Arial" w:cs="Arial"/>
          <w:b/>
          <w:bCs/>
          <w:sz w:val="22"/>
          <w:szCs w:val="22"/>
          <w:lang w:val="es-PA"/>
        </w:rPr>
      </w:pPr>
      <w:r w:rsidRPr="00316415">
        <w:rPr>
          <w:rFonts w:ascii="Arial" w:hAnsi="Arial" w:cs="Arial"/>
          <w:b/>
          <w:bCs/>
          <w:sz w:val="22"/>
          <w:szCs w:val="22"/>
          <w:lang w:val="es-PA"/>
        </w:rPr>
        <w:t>ARTÍCULO PRIMERO - Ámbito de Aplicación:</w:t>
      </w:r>
    </w:p>
    <w:p w14:paraId="1A01AD6F"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El Artículo 1 del proyecto de Acuerdo de la SMV omite incluir expresamente a las Asesoras de Inversión como entidades obligadas a implementar un sistema de Gestión Integral de Riesgos (GIR). Entendemos que, aunque las asesoras de inversión no custodian valores ni ejecutan órdenes, sí están expuestas a riesgos relevantes (en especial operativos) que pueden tener consecuencias reputacionales, regulatorias y financieras para ellas y para sus clientes, y más debido a que reciben menor supervisión in situ y extras situ que las casas de valores.</w:t>
      </w:r>
    </w:p>
    <w:p w14:paraId="4D672881" w14:textId="77777777" w:rsidR="00763093" w:rsidRPr="00316415" w:rsidRDefault="00763093" w:rsidP="00E23D2E">
      <w:pPr>
        <w:jc w:val="both"/>
        <w:rPr>
          <w:rFonts w:ascii="Arial" w:hAnsi="Arial" w:cs="Arial"/>
          <w:sz w:val="22"/>
          <w:szCs w:val="22"/>
          <w:lang w:val="es-PA"/>
        </w:rPr>
      </w:pPr>
    </w:p>
    <w:p w14:paraId="0989CB03"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Excluir a las Asesoras de Inversión limita el alcance preventivo del acuerdo, y contradice los principios de una supervisión basada en riesgos, especialmente cuando las asesoras de inversión son intermediarios con acceso a información privilegiada y patrimonial del cliente, pueden inducir decisiones de inversión mal fundamentadas o inadecuadas, están expuestas claramente a riesgos operativos debido a procesos no documentados, personal no calificado y errores administrativos. pero sobre todo representan un canal potencial de riesgo conductual o de conflictos de interés.</w:t>
      </w:r>
    </w:p>
    <w:p w14:paraId="063DE605" w14:textId="77777777" w:rsidR="00763093" w:rsidRPr="00316415" w:rsidRDefault="00763093" w:rsidP="00E23D2E">
      <w:pPr>
        <w:jc w:val="both"/>
        <w:rPr>
          <w:rFonts w:ascii="Arial" w:hAnsi="Arial" w:cs="Arial"/>
          <w:sz w:val="22"/>
          <w:szCs w:val="22"/>
          <w:lang w:val="es-PA"/>
        </w:rPr>
      </w:pPr>
    </w:p>
    <w:p w14:paraId="0FADFC93"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No obstante, si consideramos que debe ser aplicado el principio de proporcionalidad regulatoria, estableciendo obligaciones adaptadas a su tamaño y modelo de negocio, y deberían estar obligadas como mínimo a:</w:t>
      </w:r>
    </w:p>
    <w:p w14:paraId="20BF5411" w14:textId="77777777" w:rsidR="00763093" w:rsidRPr="00316415" w:rsidRDefault="00763093" w:rsidP="00E23D2E">
      <w:pPr>
        <w:jc w:val="both"/>
        <w:rPr>
          <w:rFonts w:ascii="Arial" w:hAnsi="Arial" w:cs="Arial"/>
          <w:sz w:val="22"/>
          <w:szCs w:val="22"/>
          <w:lang w:val="es-PA"/>
        </w:rPr>
      </w:pPr>
    </w:p>
    <w:p w14:paraId="6708E0A6"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 Tener una matriz de riesgos operativos y reputacionales.</w:t>
      </w:r>
    </w:p>
    <w:p w14:paraId="5A9F1D4A"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 Definir políticas para gestión de conflictos de interés.</w:t>
      </w:r>
    </w:p>
    <w:p w14:paraId="253389AF" w14:textId="77777777"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 xml:space="preserve">• Poseer un Manual de Riesgo u Operativo que defina y documente los principales procesos, controles y límites utilizados en la operativa de la firma. </w:t>
      </w:r>
    </w:p>
    <w:p w14:paraId="4535C455" w14:textId="496A05A8" w:rsidR="00763093"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 Contar con controles sobre la adecuación de las recomendaciones a sus clientes</w:t>
      </w:r>
      <w:r w:rsidR="00B864A9">
        <w:rPr>
          <w:rFonts w:ascii="Arial" w:hAnsi="Arial" w:cs="Arial"/>
          <w:sz w:val="22"/>
          <w:szCs w:val="22"/>
          <w:lang w:val="es-PA"/>
        </w:rPr>
        <w:t xml:space="preserve"> (</w:t>
      </w:r>
      <w:r w:rsidR="00B864A9" w:rsidRPr="00B864A9">
        <w:rPr>
          <w:rFonts w:ascii="Arial" w:hAnsi="Arial" w:cs="Arial"/>
          <w:sz w:val="22"/>
          <w:szCs w:val="22"/>
        </w:rPr>
        <w:t>Suitability</w:t>
      </w:r>
      <w:r w:rsidR="00B864A9">
        <w:rPr>
          <w:rFonts w:ascii="Arial" w:hAnsi="Arial" w:cs="Arial"/>
          <w:sz w:val="22"/>
          <w:szCs w:val="22"/>
          <w:lang w:val="es-PA"/>
        </w:rPr>
        <w:t>)</w:t>
      </w:r>
      <w:r w:rsidRPr="00316415">
        <w:rPr>
          <w:rFonts w:ascii="Arial" w:hAnsi="Arial" w:cs="Arial"/>
          <w:sz w:val="22"/>
          <w:szCs w:val="22"/>
          <w:lang w:val="es-PA"/>
        </w:rPr>
        <w:t>.</w:t>
      </w:r>
    </w:p>
    <w:p w14:paraId="6BA685AE" w14:textId="350D39C2" w:rsidR="00E12EB7" w:rsidRPr="00316415" w:rsidRDefault="00763093" w:rsidP="00E23D2E">
      <w:pPr>
        <w:jc w:val="both"/>
        <w:rPr>
          <w:rFonts w:ascii="Arial" w:hAnsi="Arial" w:cs="Arial"/>
          <w:sz w:val="22"/>
          <w:szCs w:val="22"/>
          <w:lang w:val="es-PA"/>
        </w:rPr>
      </w:pPr>
      <w:r w:rsidRPr="00316415">
        <w:rPr>
          <w:rFonts w:ascii="Arial" w:hAnsi="Arial" w:cs="Arial"/>
          <w:sz w:val="22"/>
          <w:szCs w:val="22"/>
          <w:lang w:val="es-PA"/>
        </w:rPr>
        <w:t>• Disponer de protocolos mínimos de continuidad operativa y protección de información.</w:t>
      </w:r>
    </w:p>
    <w:p w14:paraId="3597AD92" w14:textId="77777777" w:rsidR="00900BA1" w:rsidRPr="00316415" w:rsidRDefault="00900BA1" w:rsidP="00E23D2E">
      <w:pPr>
        <w:jc w:val="both"/>
        <w:rPr>
          <w:rFonts w:ascii="Arial" w:hAnsi="Arial" w:cs="Arial"/>
          <w:sz w:val="22"/>
          <w:szCs w:val="22"/>
          <w:lang w:val="es-PA"/>
        </w:rPr>
      </w:pPr>
    </w:p>
    <w:p w14:paraId="6A42A049" w14:textId="77777777" w:rsidR="00900BA1" w:rsidRPr="00316415" w:rsidRDefault="00900BA1" w:rsidP="00211AD3">
      <w:pPr>
        <w:framePr w:hSpace="180" w:wrap="around" w:vAnchor="text" w:hAnchor="text" w:y="1"/>
        <w:suppressOverlap/>
        <w:jc w:val="center"/>
        <w:rPr>
          <w:rFonts w:ascii="Arial" w:hAnsi="Arial" w:cs="Arial"/>
          <w:b/>
          <w:bCs/>
          <w:sz w:val="22"/>
          <w:szCs w:val="22"/>
          <w:lang w:val="es-PA"/>
        </w:rPr>
      </w:pPr>
      <w:r w:rsidRPr="00316415">
        <w:rPr>
          <w:rFonts w:ascii="Arial" w:hAnsi="Arial" w:cs="Arial"/>
          <w:b/>
          <w:bCs/>
          <w:sz w:val="22"/>
          <w:szCs w:val="22"/>
          <w:lang w:val="es-PA"/>
        </w:rPr>
        <w:lastRenderedPageBreak/>
        <w:t>Capítulo I Aspectos Generales</w:t>
      </w:r>
    </w:p>
    <w:p w14:paraId="190BF0BB" w14:textId="77777777" w:rsidR="00900BA1" w:rsidRPr="00316415" w:rsidRDefault="00900BA1" w:rsidP="00E23D2E">
      <w:pPr>
        <w:framePr w:hSpace="180" w:wrap="around" w:vAnchor="text" w:hAnchor="text" w:y="1"/>
        <w:suppressOverlap/>
        <w:jc w:val="both"/>
        <w:rPr>
          <w:rFonts w:ascii="Arial" w:hAnsi="Arial" w:cs="Arial"/>
          <w:b/>
          <w:bCs/>
          <w:sz w:val="22"/>
          <w:szCs w:val="22"/>
          <w:lang w:val="es-PA"/>
        </w:rPr>
      </w:pPr>
    </w:p>
    <w:p w14:paraId="40C1EA34" w14:textId="0CC6B463" w:rsidR="00900BA1" w:rsidRPr="00316415" w:rsidRDefault="00900BA1" w:rsidP="00E23D2E">
      <w:pPr>
        <w:jc w:val="both"/>
        <w:rPr>
          <w:rFonts w:ascii="Arial" w:hAnsi="Arial" w:cs="Arial"/>
          <w:b/>
          <w:bCs/>
          <w:sz w:val="22"/>
          <w:szCs w:val="22"/>
          <w:lang w:val="es-PA"/>
        </w:rPr>
      </w:pPr>
      <w:r w:rsidRPr="00316415">
        <w:rPr>
          <w:rFonts w:ascii="Arial" w:hAnsi="Arial" w:cs="Arial"/>
          <w:b/>
          <w:bCs/>
          <w:sz w:val="22"/>
          <w:szCs w:val="22"/>
          <w:lang w:val="es-PA"/>
        </w:rPr>
        <w:t>Artículo 1. Ámbito de Aplicación</w:t>
      </w:r>
      <w:r w:rsidR="0021555E" w:rsidRPr="00316415">
        <w:rPr>
          <w:rFonts w:ascii="Arial" w:hAnsi="Arial" w:cs="Arial"/>
          <w:b/>
          <w:bCs/>
          <w:sz w:val="22"/>
          <w:szCs w:val="22"/>
          <w:lang w:val="es-PA"/>
        </w:rPr>
        <w:t>:</w:t>
      </w:r>
    </w:p>
    <w:p w14:paraId="3CE84DAA" w14:textId="5D8AFA61" w:rsidR="0021555E" w:rsidRPr="00316415" w:rsidRDefault="00316415" w:rsidP="00E23D2E">
      <w:pPr>
        <w:pStyle w:val="ListParagraph"/>
        <w:numPr>
          <w:ilvl w:val="0"/>
          <w:numId w:val="8"/>
        </w:numPr>
        <w:jc w:val="both"/>
        <w:rPr>
          <w:rFonts w:ascii="Arial" w:hAnsi="Arial" w:cs="Arial"/>
          <w:sz w:val="22"/>
          <w:szCs w:val="22"/>
          <w:lang w:val="es-PA"/>
        </w:rPr>
      </w:pPr>
      <w:r w:rsidRPr="00316415">
        <w:rPr>
          <w:rFonts w:ascii="Arial" w:hAnsi="Arial" w:cs="Arial"/>
          <w:sz w:val="22"/>
          <w:szCs w:val="22"/>
          <w:lang w:val="es-PA"/>
        </w:rPr>
        <w:t>En relación con</w:t>
      </w:r>
      <w:r w:rsidR="0021555E" w:rsidRPr="00316415">
        <w:rPr>
          <w:rFonts w:ascii="Arial" w:hAnsi="Arial" w:cs="Arial"/>
          <w:sz w:val="22"/>
          <w:szCs w:val="22"/>
          <w:lang w:val="es-PA"/>
        </w:rPr>
        <w:t xml:space="preserve"> la mención del Acuerdo No. 6-2015 favor aclarar que si se espera que la gestión relacionados a la prevención de los delitos de blanqueo sea incluido en los requisitos de este acuerdo o se deben mantener separados.</w:t>
      </w:r>
    </w:p>
    <w:p w14:paraId="36F84D32" w14:textId="77777777" w:rsidR="0021555E" w:rsidRPr="00316415" w:rsidRDefault="0021555E" w:rsidP="00E23D2E">
      <w:pPr>
        <w:pStyle w:val="ListParagraph"/>
        <w:numPr>
          <w:ilvl w:val="0"/>
          <w:numId w:val="8"/>
        </w:numPr>
        <w:spacing w:after="0" w:line="240" w:lineRule="auto"/>
        <w:jc w:val="both"/>
        <w:rPr>
          <w:rFonts w:ascii="Arial" w:hAnsi="Arial" w:cs="Arial"/>
          <w:sz w:val="22"/>
          <w:szCs w:val="22"/>
          <w:lang w:val="es-PA"/>
        </w:rPr>
      </w:pPr>
      <w:r w:rsidRPr="00316415">
        <w:rPr>
          <w:rFonts w:ascii="Arial" w:hAnsi="Arial" w:cs="Arial"/>
          <w:sz w:val="22"/>
          <w:szCs w:val="22"/>
          <w:lang w:val="es-PA"/>
        </w:rPr>
        <w:t>Para los manuales consultamos si se van a unir este manual de riesgo con el manual AML, o se sigue manejando por separado</w:t>
      </w:r>
    </w:p>
    <w:p w14:paraId="0FF769C3" w14:textId="77777777" w:rsidR="0021555E" w:rsidRPr="00316415" w:rsidRDefault="0021555E" w:rsidP="00E23D2E">
      <w:pPr>
        <w:jc w:val="both"/>
        <w:rPr>
          <w:rFonts w:ascii="Arial" w:hAnsi="Arial" w:cs="Arial"/>
          <w:sz w:val="22"/>
          <w:szCs w:val="22"/>
          <w:lang w:val="es-PA"/>
        </w:rPr>
      </w:pPr>
    </w:p>
    <w:p w14:paraId="0C490994" w14:textId="77777777" w:rsidR="00AF6F72" w:rsidRPr="00316415" w:rsidRDefault="00AF6F72" w:rsidP="00E23D2E">
      <w:pPr>
        <w:jc w:val="both"/>
        <w:rPr>
          <w:rFonts w:ascii="Arial" w:hAnsi="Arial" w:cs="Arial"/>
          <w:b/>
          <w:bCs/>
          <w:sz w:val="22"/>
          <w:szCs w:val="22"/>
          <w:lang w:val="es-PA"/>
        </w:rPr>
      </w:pPr>
      <w:r w:rsidRPr="00316415">
        <w:rPr>
          <w:rFonts w:ascii="Arial" w:hAnsi="Arial" w:cs="Arial"/>
          <w:b/>
          <w:bCs/>
          <w:sz w:val="22"/>
          <w:szCs w:val="22"/>
          <w:lang w:val="es-PA"/>
        </w:rPr>
        <w:t>Artículo 2. Objetivos.</w:t>
      </w:r>
    </w:p>
    <w:p w14:paraId="3C0AFAEC" w14:textId="583FF248" w:rsidR="00AF6F72" w:rsidRPr="00316415" w:rsidRDefault="006F7162" w:rsidP="00E23D2E">
      <w:pPr>
        <w:jc w:val="both"/>
        <w:rPr>
          <w:rFonts w:ascii="Arial" w:hAnsi="Arial" w:cs="Arial"/>
          <w:sz w:val="22"/>
          <w:szCs w:val="22"/>
          <w:lang w:val="es-PA"/>
        </w:rPr>
      </w:pPr>
      <w:r w:rsidRPr="00316415">
        <w:rPr>
          <w:rFonts w:ascii="Arial" w:hAnsi="Arial" w:cs="Arial"/>
          <w:sz w:val="22"/>
          <w:szCs w:val="22"/>
          <w:lang w:val="es-PA"/>
        </w:rPr>
        <w:t xml:space="preserve">Recomendación: </w:t>
      </w:r>
      <w:r w:rsidR="00113937" w:rsidRPr="00316415">
        <w:rPr>
          <w:rFonts w:ascii="Arial" w:hAnsi="Arial" w:cs="Arial"/>
          <w:sz w:val="22"/>
          <w:szCs w:val="22"/>
          <w:lang w:val="es-PA"/>
        </w:rPr>
        <w:t>La redacción del objetivo debe de estar alineado con las definiciones Art. 3 punto 11 que está mejor escrito</w:t>
      </w:r>
      <w:r w:rsidR="00D95A6F" w:rsidRPr="00316415">
        <w:rPr>
          <w:rFonts w:ascii="Arial" w:hAnsi="Arial" w:cs="Arial"/>
          <w:sz w:val="22"/>
          <w:szCs w:val="22"/>
          <w:lang w:val="es-PA"/>
        </w:rPr>
        <w:t>.</w:t>
      </w:r>
    </w:p>
    <w:p w14:paraId="6A8B4110" w14:textId="77777777" w:rsidR="00373476" w:rsidRPr="00316415" w:rsidRDefault="00373476" w:rsidP="00E23D2E">
      <w:pPr>
        <w:jc w:val="both"/>
        <w:rPr>
          <w:rFonts w:ascii="Arial" w:hAnsi="Arial" w:cs="Arial"/>
          <w:b/>
          <w:bCs/>
          <w:sz w:val="22"/>
          <w:szCs w:val="22"/>
          <w:lang w:val="es-PA"/>
        </w:rPr>
      </w:pPr>
      <w:r w:rsidRPr="00316415">
        <w:rPr>
          <w:rFonts w:ascii="Arial" w:hAnsi="Arial" w:cs="Arial"/>
          <w:b/>
          <w:bCs/>
          <w:sz w:val="22"/>
          <w:szCs w:val="22"/>
          <w:lang w:val="es-PA"/>
        </w:rPr>
        <w:t>Artículo 3. Definiciones.</w:t>
      </w:r>
    </w:p>
    <w:p w14:paraId="12B6FD55" w14:textId="194AA825" w:rsidR="00034BB3" w:rsidRPr="00316415" w:rsidRDefault="00D95A6F" w:rsidP="00E23D2E">
      <w:pPr>
        <w:jc w:val="both"/>
        <w:rPr>
          <w:rFonts w:ascii="Arial" w:hAnsi="Arial" w:cs="Arial"/>
          <w:sz w:val="22"/>
          <w:szCs w:val="22"/>
          <w:lang w:val="es-PA"/>
        </w:rPr>
      </w:pPr>
      <w:r w:rsidRPr="00316415">
        <w:rPr>
          <w:rFonts w:ascii="Arial" w:hAnsi="Arial" w:cs="Arial"/>
          <w:sz w:val="22"/>
          <w:szCs w:val="22"/>
          <w:lang w:val="es-PA"/>
        </w:rPr>
        <w:t xml:space="preserve">Recomendación: </w:t>
      </w:r>
      <w:r w:rsidR="00034BB3" w:rsidRPr="00316415">
        <w:rPr>
          <w:rFonts w:ascii="Arial" w:hAnsi="Arial" w:cs="Arial"/>
          <w:sz w:val="22"/>
          <w:szCs w:val="22"/>
          <w:lang w:val="es-PA"/>
        </w:rPr>
        <w:t xml:space="preserve">Se sugiere establecer el </w:t>
      </w:r>
      <w:r w:rsidR="00E3758F" w:rsidRPr="00316415">
        <w:rPr>
          <w:rFonts w:ascii="Arial" w:hAnsi="Arial" w:cs="Arial"/>
          <w:sz w:val="22"/>
          <w:szCs w:val="22"/>
          <w:lang w:val="es-PA"/>
        </w:rPr>
        <w:t>concepto “</w:t>
      </w:r>
      <w:r w:rsidR="00034BB3" w:rsidRPr="00316415">
        <w:rPr>
          <w:rFonts w:ascii="Arial" w:hAnsi="Arial" w:cs="Arial"/>
          <w:sz w:val="22"/>
          <w:szCs w:val="22"/>
          <w:lang w:val="es-PA"/>
        </w:rPr>
        <w:t>entidades pequeñas y no complejas” (</w:t>
      </w:r>
      <w:r w:rsidR="00034BB3" w:rsidRPr="00B864A9">
        <w:rPr>
          <w:rFonts w:ascii="Arial" w:hAnsi="Arial" w:cs="Arial"/>
          <w:sz w:val="22"/>
          <w:szCs w:val="22"/>
          <w:lang w:val="es-CO"/>
        </w:rPr>
        <w:t>Small and Non-Complex Institutions, SNCIs</w:t>
      </w:r>
      <w:r w:rsidR="00034BB3" w:rsidRPr="00316415">
        <w:rPr>
          <w:rFonts w:ascii="Arial" w:hAnsi="Arial" w:cs="Arial"/>
          <w:sz w:val="22"/>
          <w:szCs w:val="22"/>
          <w:lang w:val="es-PA"/>
        </w:rPr>
        <w:t>). Para ser clasificadas como tales, deben cumplir con criterios como:</w:t>
      </w:r>
    </w:p>
    <w:p w14:paraId="112159E2" w14:textId="77777777" w:rsidR="00034BB3" w:rsidRPr="00316415" w:rsidRDefault="00034BB3" w:rsidP="00E23D2E">
      <w:pPr>
        <w:numPr>
          <w:ilvl w:val="0"/>
          <w:numId w:val="13"/>
        </w:numPr>
        <w:jc w:val="both"/>
        <w:rPr>
          <w:rFonts w:ascii="Arial" w:hAnsi="Arial" w:cs="Arial"/>
          <w:sz w:val="22"/>
          <w:szCs w:val="22"/>
          <w:lang w:val="es-PA"/>
        </w:rPr>
      </w:pPr>
      <w:r w:rsidRPr="00316415">
        <w:rPr>
          <w:rFonts w:ascii="Arial" w:hAnsi="Arial" w:cs="Arial"/>
          <w:sz w:val="22"/>
          <w:szCs w:val="22"/>
          <w:lang w:val="es-PA"/>
        </w:rPr>
        <w:t>Activos totales inferiores a USD 5.000 Millones</w:t>
      </w:r>
    </w:p>
    <w:p w14:paraId="4781E8D3" w14:textId="77777777" w:rsidR="00034BB3" w:rsidRPr="00316415" w:rsidRDefault="00034BB3" w:rsidP="00E23D2E">
      <w:pPr>
        <w:numPr>
          <w:ilvl w:val="0"/>
          <w:numId w:val="13"/>
        </w:numPr>
        <w:jc w:val="both"/>
        <w:rPr>
          <w:rFonts w:ascii="Arial" w:hAnsi="Arial" w:cs="Arial"/>
          <w:sz w:val="22"/>
          <w:szCs w:val="22"/>
          <w:lang w:val="es-PA"/>
        </w:rPr>
      </w:pPr>
      <w:r w:rsidRPr="00316415">
        <w:rPr>
          <w:rFonts w:ascii="Arial" w:hAnsi="Arial" w:cs="Arial"/>
          <w:sz w:val="22"/>
          <w:szCs w:val="22"/>
          <w:lang w:val="es-PA"/>
        </w:rPr>
        <w:t>No operar internacionalmente</w:t>
      </w:r>
    </w:p>
    <w:p w14:paraId="5DCDC98E" w14:textId="77777777" w:rsidR="00034BB3" w:rsidRPr="00316415" w:rsidRDefault="00034BB3" w:rsidP="00E23D2E">
      <w:pPr>
        <w:numPr>
          <w:ilvl w:val="0"/>
          <w:numId w:val="13"/>
        </w:numPr>
        <w:jc w:val="both"/>
        <w:rPr>
          <w:rFonts w:ascii="Arial" w:hAnsi="Arial" w:cs="Arial"/>
          <w:sz w:val="22"/>
          <w:szCs w:val="22"/>
          <w:lang w:val="es-PA"/>
        </w:rPr>
      </w:pPr>
      <w:r w:rsidRPr="00316415">
        <w:rPr>
          <w:rFonts w:ascii="Arial" w:hAnsi="Arial" w:cs="Arial"/>
          <w:sz w:val="22"/>
          <w:szCs w:val="22"/>
          <w:lang w:val="es-PA"/>
        </w:rPr>
        <w:t>Tener un modelo de negocio simple</w:t>
      </w:r>
    </w:p>
    <w:p w14:paraId="3ABA43CC" w14:textId="77777777" w:rsidR="00034BB3" w:rsidRPr="00316415" w:rsidRDefault="00034BB3" w:rsidP="00E23D2E">
      <w:pPr>
        <w:numPr>
          <w:ilvl w:val="0"/>
          <w:numId w:val="13"/>
        </w:numPr>
        <w:jc w:val="both"/>
        <w:rPr>
          <w:rFonts w:ascii="Arial" w:hAnsi="Arial" w:cs="Arial"/>
          <w:sz w:val="22"/>
          <w:szCs w:val="22"/>
          <w:lang w:val="es-PA"/>
        </w:rPr>
      </w:pPr>
      <w:r w:rsidRPr="00316415">
        <w:rPr>
          <w:rFonts w:ascii="Arial" w:hAnsi="Arial" w:cs="Arial"/>
          <w:sz w:val="22"/>
          <w:szCs w:val="22"/>
          <w:lang w:val="es-PA"/>
        </w:rPr>
        <w:t>No estar consideradas como sistémicamente importante</w:t>
      </w:r>
    </w:p>
    <w:p w14:paraId="16C7C294" w14:textId="391D2C23" w:rsidR="00034BB3" w:rsidRPr="00316415" w:rsidRDefault="00034BB3" w:rsidP="00E23D2E">
      <w:pPr>
        <w:jc w:val="both"/>
        <w:rPr>
          <w:rFonts w:ascii="Arial" w:hAnsi="Arial" w:cs="Arial"/>
          <w:sz w:val="22"/>
          <w:szCs w:val="22"/>
          <w:lang w:val="es-PA"/>
        </w:rPr>
      </w:pPr>
      <w:r w:rsidRPr="00316415">
        <w:rPr>
          <w:rFonts w:ascii="Arial" w:hAnsi="Arial" w:cs="Arial"/>
          <w:sz w:val="22"/>
          <w:szCs w:val="22"/>
          <w:lang w:val="es-PA"/>
        </w:rPr>
        <w:t xml:space="preserve">De esta manera lo estableció la </w:t>
      </w:r>
      <w:r w:rsidR="00D67E20" w:rsidRPr="00316415">
        <w:rPr>
          <w:rFonts w:ascii="Arial" w:hAnsi="Arial" w:cs="Arial"/>
          <w:sz w:val="22"/>
          <w:szCs w:val="22"/>
          <w:lang w:val="es-PA"/>
        </w:rPr>
        <w:t>Unión</w:t>
      </w:r>
      <w:r w:rsidRPr="00316415">
        <w:rPr>
          <w:rFonts w:ascii="Arial" w:hAnsi="Arial" w:cs="Arial"/>
          <w:sz w:val="22"/>
          <w:szCs w:val="22"/>
          <w:lang w:val="es-PA"/>
        </w:rPr>
        <w:t xml:space="preserve"> Europea para la aplicación de Basilea III</w:t>
      </w:r>
    </w:p>
    <w:p w14:paraId="227571BB" w14:textId="1AD4AA5E" w:rsidR="007E2502" w:rsidRPr="00316415" w:rsidRDefault="007E2502" w:rsidP="00E23D2E">
      <w:pPr>
        <w:jc w:val="both"/>
        <w:rPr>
          <w:rFonts w:ascii="Arial" w:hAnsi="Arial" w:cs="Arial"/>
          <w:sz w:val="22"/>
          <w:szCs w:val="22"/>
          <w:lang w:val="es-PA"/>
        </w:rPr>
      </w:pPr>
      <w:r w:rsidRPr="00316415">
        <w:rPr>
          <w:rFonts w:ascii="Arial" w:hAnsi="Arial" w:cs="Arial"/>
          <w:sz w:val="22"/>
          <w:szCs w:val="22"/>
          <w:lang w:val="es-PA"/>
        </w:rPr>
        <w:t xml:space="preserve">Consulta: </w:t>
      </w:r>
      <w:r w:rsidR="00B032F3" w:rsidRPr="00316415">
        <w:rPr>
          <w:rFonts w:ascii="Arial" w:hAnsi="Arial" w:cs="Arial"/>
          <w:sz w:val="22"/>
          <w:szCs w:val="22"/>
          <w:lang w:val="es-PA"/>
        </w:rPr>
        <w:t>¿</w:t>
      </w:r>
      <w:r w:rsidR="00DB628E" w:rsidRPr="00316415">
        <w:rPr>
          <w:rFonts w:ascii="Arial" w:hAnsi="Arial" w:cs="Arial"/>
          <w:sz w:val="22"/>
          <w:szCs w:val="22"/>
          <w:lang w:val="es-PA"/>
        </w:rPr>
        <w:t>Cuál</w:t>
      </w:r>
      <w:r w:rsidR="00B032F3" w:rsidRPr="00316415">
        <w:rPr>
          <w:rFonts w:ascii="Arial" w:hAnsi="Arial" w:cs="Arial"/>
          <w:sz w:val="22"/>
          <w:szCs w:val="22"/>
          <w:lang w:val="es-PA"/>
        </w:rPr>
        <w:t xml:space="preserve"> es el alcance de administración de activos de terceros</w:t>
      </w:r>
      <w:r w:rsidR="00316415">
        <w:rPr>
          <w:rFonts w:ascii="Arial" w:hAnsi="Arial" w:cs="Arial"/>
          <w:sz w:val="22"/>
          <w:szCs w:val="22"/>
          <w:lang w:val="es-PA"/>
        </w:rPr>
        <w:t>?</w:t>
      </w:r>
      <w:r w:rsidR="00B032F3" w:rsidRPr="00316415">
        <w:rPr>
          <w:rFonts w:ascii="Arial" w:hAnsi="Arial" w:cs="Arial"/>
          <w:sz w:val="22"/>
          <w:szCs w:val="22"/>
          <w:lang w:val="es-PA"/>
        </w:rPr>
        <w:t>, incluirlo en las definiciones para establecer el alcance</w:t>
      </w:r>
      <w:r w:rsidR="00316415">
        <w:rPr>
          <w:rFonts w:ascii="Arial" w:hAnsi="Arial" w:cs="Arial"/>
          <w:sz w:val="22"/>
          <w:szCs w:val="22"/>
          <w:lang w:val="es-PA"/>
        </w:rPr>
        <w:t>.</w:t>
      </w:r>
      <w:r w:rsidRPr="00316415">
        <w:rPr>
          <w:rFonts w:ascii="Arial" w:hAnsi="Arial" w:cs="Arial"/>
          <w:sz w:val="22"/>
          <w:szCs w:val="22"/>
          <w:lang w:val="es-PA"/>
        </w:rPr>
        <w:t xml:space="preserve"> </w:t>
      </w:r>
      <w:r w:rsidR="00316415">
        <w:rPr>
          <w:rFonts w:ascii="Arial" w:hAnsi="Arial" w:cs="Arial"/>
          <w:sz w:val="22"/>
          <w:szCs w:val="22"/>
          <w:lang w:val="es-PA"/>
        </w:rPr>
        <w:t>Asi mismo,</w:t>
      </w:r>
      <w:r w:rsidRPr="00316415">
        <w:rPr>
          <w:rFonts w:ascii="Arial" w:hAnsi="Arial" w:cs="Arial"/>
          <w:sz w:val="22"/>
          <w:szCs w:val="22"/>
          <w:lang w:val="es-PA"/>
        </w:rPr>
        <w:t xml:space="preserve"> el alcance que se coloca en la definición de Apetito de Riesgo </w:t>
      </w:r>
      <w:r w:rsidR="00D67E20" w:rsidRPr="00316415">
        <w:rPr>
          <w:rFonts w:ascii="Arial" w:hAnsi="Arial" w:cs="Arial"/>
          <w:sz w:val="22"/>
          <w:szCs w:val="22"/>
          <w:lang w:val="es-PA"/>
        </w:rPr>
        <w:t>en relación con</w:t>
      </w:r>
      <w:r w:rsidRPr="00316415">
        <w:rPr>
          <w:rFonts w:ascii="Arial" w:hAnsi="Arial" w:cs="Arial"/>
          <w:sz w:val="22"/>
          <w:szCs w:val="22"/>
          <w:lang w:val="es-PA"/>
        </w:rPr>
        <w:t xml:space="preserve"> los activos de terceros</w:t>
      </w:r>
      <w:r w:rsidR="00316415">
        <w:rPr>
          <w:rFonts w:ascii="Arial" w:hAnsi="Arial" w:cs="Arial"/>
          <w:sz w:val="22"/>
          <w:szCs w:val="22"/>
          <w:lang w:val="es-PA"/>
        </w:rPr>
        <w:t>,</w:t>
      </w:r>
      <w:r w:rsidRPr="00316415">
        <w:rPr>
          <w:rFonts w:ascii="Arial" w:hAnsi="Arial" w:cs="Arial"/>
          <w:sz w:val="22"/>
          <w:szCs w:val="22"/>
          <w:lang w:val="es-PA"/>
        </w:rPr>
        <w:t xml:space="preserve"> ya que estos siguen el apetito de los clientes y no del órgano de dirección.</w:t>
      </w:r>
    </w:p>
    <w:p w14:paraId="7A3ED315" w14:textId="17D5D1AD" w:rsidR="006A1773" w:rsidRPr="00316415" w:rsidRDefault="004636A2" w:rsidP="00E23D2E">
      <w:pPr>
        <w:jc w:val="both"/>
        <w:rPr>
          <w:rFonts w:ascii="Arial" w:hAnsi="Arial" w:cs="Arial"/>
          <w:sz w:val="22"/>
          <w:szCs w:val="22"/>
          <w:lang w:val="es-PA"/>
        </w:rPr>
      </w:pPr>
      <w:r w:rsidRPr="00316415">
        <w:rPr>
          <w:rFonts w:ascii="Arial" w:hAnsi="Arial" w:cs="Arial"/>
          <w:sz w:val="22"/>
          <w:szCs w:val="22"/>
          <w:lang w:val="es-PA"/>
        </w:rPr>
        <w:t>Revisar la definición del punto 11</w:t>
      </w:r>
      <w:r w:rsidR="005E3BBF" w:rsidRPr="00316415">
        <w:rPr>
          <w:rFonts w:ascii="Arial" w:hAnsi="Arial" w:cs="Arial"/>
          <w:sz w:val="22"/>
          <w:szCs w:val="22"/>
          <w:lang w:val="es-PA"/>
        </w:rPr>
        <w:t xml:space="preserve">, </w:t>
      </w:r>
      <w:r w:rsidR="00D67E20" w:rsidRPr="00316415">
        <w:rPr>
          <w:rFonts w:ascii="Arial" w:hAnsi="Arial" w:cs="Arial"/>
          <w:sz w:val="22"/>
          <w:szCs w:val="22"/>
          <w:lang w:val="es-PA"/>
        </w:rPr>
        <w:t>Gestión</w:t>
      </w:r>
      <w:r w:rsidR="005E3BBF" w:rsidRPr="00316415">
        <w:rPr>
          <w:rFonts w:ascii="Arial" w:hAnsi="Arial" w:cs="Arial"/>
          <w:sz w:val="22"/>
          <w:szCs w:val="22"/>
          <w:lang w:val="es-PA"/>
        </w:rPr>
        <w:t xml:space="preserve"> Integral de Riesgos y sugerimos alinearla a la definición de Basilea. </w:t>
      </w:r>
      <w:r w:rsidR="00D67E20" w:rsidRPr="00316415">
        <w:rPr>
          <w:rFonts w:ascii="Arial" w:hAnsi="Arial" w:cs="Arial"/>
          <w:sz w:val="22"/>
          <w:szCs w:val="22"/>
          <w:lang w:val="es-PA"/>
        </w:rPr>
        <w:t>Así</w:t>
      </w:r>
      <w:r w:rsidR="005E3BBF" w:rsidRPr="00316415">
        <w:rPr>
          <w:rFonts w:ascii="Arial" w:hAnsi="Arial" w:cs="Arial"/>
          <w:sz w:val="22"/>
          <w:szCs w:val="22"/>
          <w:lang w:val="es-PA"/>
        </w:rPr>
        <w:t xml:space="preserve"> mismo revisar el objetivo del Articulo 2 debe de estar alineado al </w:t>
      </w:r>
      <w:r w:rsidR="00B032F3" w:rsidRPr="00316415">
        <w:rPr>
          <w:rFonts w:ascii="Arial" w:hAnsi="Arial" w:cs="Arial"/>
          <w:sz w:val="22"/>
          <w:szCs w:val="22"/>
          <w:lang w:val="es-PA"/>
        </w:rPr>
        <w:t>Art. 3 punto 11</w:t>
      </w:r>
    </w:p>
    <w:p w14:paraId="61F7928D" w14:textId="77777777" w:rsidR="007A1433" w:rsidRPr="00316415" w:rsidRDefault="007A1433" w:rsidP="00C66D24">
      <w:pPr>
        <w:rPr>
          <w:rFonts w:ascii="Arial" w:hAnsi="Arial" w:cs="Arial"/>
          <w:sz w:val="22"/>
          <w:szCs w:val="22"/>
          <w:lang w:val="es-PA"/>
        </w:rPr>
      </w:pPr>
    </w:p>
    <w:p w14:paraId="39AD01A8" w14:textId="77777777" w:rsidR="00C66D24" w:rsidRPr="00316415" w:rsidRDefault="00C66D24" w:rsidP="00C66D24">
      <w:pPr>
        <w:jc w:val="center"/>
        <w:rPr>
          <w:rFonts w:ascii="Arial" w:hAnsi="Arial" w:cs="Arial"/>
          <w:sz w:val="22"/>
          <w:szCs w:val="22"/>
          <w:lang w:val="es-PA"/>
        </w:rPr>
      </w:pPr>
    </w:p>
    <w:p w14:paraId="5AAC9645" w14:textId="77777777" w:rsidR="00C66D24" w:rsidRPr="00316415" w:rsidRDefault="00C66D24" w:rsidP="00C66D24">
      <w:pPr>
        <w:jc w:val="center"/>
        <w:rPr>
          <w:rFonts w:ascii="Arial" w:hAnsi="Arial" w:cs="Arial"/>
          <w:sz w:val="22"/>
          <w:szCs w:val="22"/>
          <w:lang w:val="es-PA"/>
        </w:rPr>
      </w:pPr>
    </w:p>
    <w:p w14:paraId="3D4FD9AF" w14:textId="3D254A9F" w:rsidR="007A1433" w:rsidRPr="00316415" w:rsidRDefault="007A1433" w:rsidP="00C66D24">
      <w:pPr>
        <w:jc w:val="center"/>
        <w:rPr>
          <w:rFonts w:ascii="Arial" w:hAnsi="Arial" w:cs="Arial"/>
          <w:b/>
          <w:bCs/>
          <w:sz w:val="22"/>
          <w:szCs w:val="22"/>
          <w:lang w:val="es-PA"/>
        </w:rPr>
      </w:pPr>
      <w:r w:rsidRPr="00316415">
        <w:rPr>
          <w:rFonts w:ascii="Arial" w:hAnsi="Arial" w:cs="Arial"/>
          <w:b/>
          <w:bCs/>
          <w:sz w:val="22"/>
          <w:szCs w:val="22"/>
          <w:lang w:val="es-PA"/>
        </w:rPr>
        <w:t>Capitulo II Gestión Integral de Riesgos</w:t>
      </w:r>
    </w:p>
    <w:p w14:paraId="3B5EF59A" w14:textId="77777777" w:rsidR="007A1433" w:rsidRPr="00316415" w:rsidRDefault="007A1433" w:rsidP="00E23D2E">
      <w:pPr>
        <w:jc w:val="both"/>
        <w:rPr>
          <w:rFonts w:ascii="Arial" w:hAnsi="Arial" w:cs="Arial"/>
          <w:b/>
          <w:bCs/>
          <w:sz w:val="22"/>
          <w:szCs w:val="22"/>
          <w:lang w:val="es-PA"/>
        </w:rPr>
      </w:pPr>
    </w:p>
    <w:p w14:paraId="4500E56B" w14:textId="77777777" w:rsidR="007A1433" w:rsidRPr="00316415" w:rsidRDefault="007A1433" w:rsidP="00E23D2E">
      <w:pPr>
        <w:jc w:val="both"/>
        <w:rPr>
          <w:rFonts w:ascii="Arial" w:hAnsi="Arial" w:cs="Arial"/>
          <w:b/>
          <w:bCs/>
          <w:sz w:val="22"/>
          <w:szCs w:val="22"/>
          <w:lang w:val="es-PA"/>
        </w:rPr>
      </w:pPr>
      <w:r w:rsidRPr="00316415">
        <w:rPr>
          <w:rFonts w:ascii="Arial" w:hAnsi="Arial" w:cs="Arial"/>
          <w:b/>
          <w:bCs/>
          <w:sz w:val="22"/>
          <w:szCs w:val="22"/>
          <w:lang w:val="es-PA"/>
        </w:rPr>
        <w:t>Artículo 4: Alcance.</w:t>
      </w:r>
    </w:p>
    <w:p w14:paraId="7D79BF22" w14:textId="77777777" w:rsidR="00BC7F61" w:rsidRPr="00316415" w:rsidRDefault="00BC7F61" w:rsidP="00E23D2E">
      <w:pPr>
        <w:jc w:val="both"/>
        <w:rPr>
          <w:rFonts w:ascii="Arial" w:hAnsi="Arial" w:cs="Arial"/>
          <w:sz w:val="22"/>
          <w:szCs w:val="22"/>
          <w:lang w:val="es-PA"/>
        </w:rPr>
      </w:pPr>
      <w:r w:rsidRPr="00316415">
        <w:rPr>
          <w:rFonts w:ascii="Arial" w:hAnsi="Arial" w:cs="Arial"/>
          <w:sz w:val="22"/>
          <w:szCs w:val="22"/>
          <w:lang w:val="es-PA"/>
        </w:rPr>
        <w:t>Se recomienda alinear los requisitos mínimos del marco de gestión a los que da ISO 3100.</w:t>
      </w:r>
    </w:p>
    <w:p w14:paraId="34D8D540" w14:textId="6B98901E" w:rsidR="00BC7F61" w:rsidRPr="00316415" w:rsidRDefault="00BC7F61" w:rsidP="00E23D2E">
      <w:pPr>
        <w:jc w:val="both"/>
        <w:rPr>
          <w:rFonts w:ascii="Arial" w:hAnsi="Arial" w:cs="Arial"/>
          <w:sz w:val="22"/>
          <w:szCs w:val="22"/>
          <w:lang w:val="es-PA"/>
        </w:rPr>
      </w:pPr>
      <w:r w:rsidRPr="00316415">
        <w:rPr>
          <w:rFonts w:ascii="Arial" w:hAnsi="Arial" w:cs="Arial"/>
          <w:sz w:val="22"/>
          <w:szCs w:val="22"/>
          <w:lang w:val="es-PA"/>
        </w:rPr>
        <w:t xml:space="preserve">El listado de tipos de riesgos </w:t>
      </w:r>
      <w:r w:rsidR="00316415" w:rsidRPr="00316415">
        <w:rPr>
          <w:rFonts w:ascii="Arial" w:hAnsi="Arial" w:cs="Arial"/>
          <w:sz w:val="22"/>
          <w:szCs w:val="22"/>
          <w:lang w:val="es-PA"/>
        </w:rPr>
        <w:t>está</w:t>
      </w:r>
      <w:r w:rsidRPr="00316415">
        <w:rPr>
          <w:rFonts w:ascii="Arial" w:hAnsi="Arial" w:cs="Arial"/>
          <w:sz w:val="22"/>
          <w:szCs w:val="22"/>
          <w:lang w:val="es-PA"/>
        </w:rPr>
        <w:t xml:space="preserve"> demasiado granular, ya que hay ciertos riesgos que están relacionados o inmersos entre si lo que podría generar una duplicación de esfuerzos de gestión. Por ejemplo: Riesgo de ciberseguridad, Riesgo de continuidad de negocio, Riesgo de fraude, riesgo legal, riesgo tecnología y riesgo de valuación son componentes del riesgo operacional. El riesgo de corrupción es un componente del riesgo ce cumplimiento. Se recomienda alinear la tipología a ISO 31000 o Basilea.</w:t>
      </w:r>
    </w:p>
    <w:p w14:paraId="1A625D4B" w14:textId="77777777" w:rsidR="00BC16E1" w:rsidRPr="00316415" w:rsidRDefault="00BC16E1" w:rsidP="00E23D2E">
      <w:pPr>
        <w:jc w:val="both"/>
        <w:rPr>
          <w:rFonts w:ascii="Arial" w:hAnsi="Arial" w:cs="Arial"/>
          <w:sz w:val="22"/>
          <w:szCs w:val="22"/>
          <w:lang w:val="es-PA"/>
        </w:rPr>
      </w:pPr>
      <w:r w:rsidRPr="00316415">
        <w:rPr>
          <w:rFonts w:ascii="Arial" w:hAnsi="Arial" w:cs="Arial"/>
          <w:sz w:val="22"/>
          <w:szCs w:val="22"/>
          <w:lang w:val="es-PA"/>
        </w:rPr>
        <w:t>Se identificaron 17 riesgos que es demasiado granular y no se distingue entre categorías y subcategorías. Propuesta de agrupación.</w:t>
      </w:r>
    </w:p>
    <w:p w14:paraId="4AA1BDFE" w14:textId="1D2897D1" w:rsidR="00BC16E1" w:rsidRPr="00316415" w:rsidRDefault="00BC16E1" w:rsidP="00E23D2E">
      <w:pPr>
        <w:jc w:val="both"/>
        <w:rPr>
          <w:rFonts w:ascii="Arial" w:hAnsi="Arial" w:cs="Arial"/>
          <w:sz w:val="22"/>
          <w:szCs w:val="22"/>
          <w:lang w:val="es-PA"/>
        </w:rPr>
      </w:pPr>
      <w:r w:rsidRPr="00316415">
        <w:rPr>
          <w:rFonts w:ascii="Arial" w:hAnsi="Arial" w:cs="Arial"/>
          <w:sz w:val="22"/>
          <w:szCs w:val="22"/>
          <w:lang w:val="es-PA"/>
        </w:rPr>
        <w:t xml:space="preserve"> 1. Riesgos Financieros</w:t>
      </w:r>
    </w:p>
    <w:p w14:paraId="3A029882"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de crédito</w:t>
      </w:r>
    </w:p>
    <w:p w14:paraId="10A187E6"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de mercado</w:t>
      </w:r>
    </w:p>
    <w:p w14:paraId="1FE73FC6"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de liquidez</w:t>
      </w:r>
    </w:p>
    <w:p w14:paraId="058651C5"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de valuación</w:t>
      </w:r>
    </w:p>
    <w:p w14:paraId="0CFBA6F2"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de concentración</w:t>
      </w:r>
    </w:p>
    <w:p w14:paraId="2D40441E" w14:textId="77777777" w:rsidR="00BC16E1" w:rsidRPr="00316415" w:rsidRDefault="00BC16E1" w:rsidP="00E23D2E">
      <w:pPr>
        <w:numPr>
          <w:ilvl w:val="0"/>
          <w:numId w:val="9"/>
        </w:numPr>
        <w:jc w:val="both"/>
        <w:rPr>
          <w:rFonts w:ascii="Arial" w:hAnsi="Arial" w:cs="Arial"/>
          <w:sz w:val="22"/>
          <w:szCs w:val="22"/>
          <w:lang w:val="es-PA"/>
        </w:rPr>
      </w:pPr>
      <w:r w:rsidRPr="00316415">
        <w:rPr>
          <w:rFonts w:ascii="Arial" w:hAnsi="Arial" w:cs="Arial"/>
          <w:sz w:val="22"/>
          <w:szCs w:val="22"/>
          <w:lang w:val="es-PA"/>
        </w:rPr>
        <w:t>Riesgo país</w:t>
      </w:r>
    </w:p>
    <w:p w14:paraId="15820134" w14:textId="0A98C56B" w:rsidR="00BC16E1" w:rsidRPr="00316415" w:rsidRDefault="00BC16E1" w:rsidP="00E23D2E">
      <w:pPr>
        <w:jc w:val="both"/>
        <w:rPr>
          <w:rFonts w:ascii="Arial" w:hAnsi="Arial" w:cs="Arial"/>
          <w:sz w:val="22"/>
          <w:szCs w:val="22"/>
          <w:lang w:val="es-PA"/>
        </w:rPr>
      </w:pPr>
      <w:r w:rsidRPr="00316415">
        <w:rPr>
          <w:rFonts w:ascii="Arial" w:hAnsi="Arial" w:cs="Arial"/>
          <w:sz w:val="22"/>
          <w:szCs w:val="22"/>
          <w:lang w:val="es-PA"/>
        </w:rPr>
        <w:t>2. Riesgos Operacionales</w:t>
      </w:r>
    </w:p>
    <w:p w14:paraId="3774D440"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operacional</w:t>
      </w:r>
    </w:p>
    <w:p w14:paraId="17FF631C"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de continuidad del negocio</w:t>
      </w:r>
    </w:p>
    <w:p w14:paraId="3B89E411"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de fraude y corrupción</w:t>
      </w:r>
    </w:p>
    <w:p w14:paraId="33FF312D"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legal</w:t>
      </w:r>
    </w:p>
    <w:p w14:paraId="600E4C62"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de cumplimiento BC/FT/FPADM</w:t>
      </w:r>
    </w:p>
    <w:p w14:paraId="1F953EEB"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de tecnología de la información y digitales</w:t>
      </w:r>
    </w:p>
    <w:p w14:paraId="3B9B85C1" w14:textId="77777777" w:rsidR="00BC16E1" w:rsidRPr="00316415" w:rsidRDefault="00BC16E1" w:rsidP="00E23D2E">
      <w:pPr>
        <w:numPr>
          <w:ilvl w:val="0"/>
          <w:numId w:val="10"/>
        </w:numPr>
        <w:jc w:val="both"/>
        <w:rPr>
          <w:rFonts w:ascii="Arial" w:hAnsi="Arial" w:cs="Arial"/>
          <w:sz w:val="22"/>
          <w:szCs w:val="22"/>
          <w:lang w:val="es-PA"/>
        </w:rPr>
      </w:pPr>
      <w:r w:rsidRPr="00316415">
        <w:rPr>
          <w:rFonts w:ascii="Arial" w:hAnsi="Arial" w:cs="Arial"/>
          <w:sz w:val="22"/>
          <w:szCs w:val="22"/>
          <w:lang w:val="es-PA"/>
        </w:rPr>
        <w:t>Riesgo de ciberseguridad</w:t>
      </w:r>
    </w:p>
    <w:p w14:paraId="5867026C" w14:textId="21DA4D59" w:rsidR="00BC16E1" w:rsidRPr="00316415" w:rsidRDefault="00BC16E1" w:rsidP="00E23D2E">
      <w:pPr>
        <w:jc w:val="both"/>
        <w:rPr>
          <w:rFonts w:ascii="Arial" w:hAnsi="Arial" w:cs="Arial"/>
          <w:sz w:val="22"/>
          <w:szCs w:val="22"/>
          <w:lang w:val="es-PA"/>
        </w:rPr>
      </w:pPr>
      <w:r w:rsidRPr="00316415">
        <w:rPr>
          <w:rFonts w:ascii="Arial" w:hAnsi="Arial" w:cs="Arial"/>
          <w:sz w:val="22"/>
          <w:szCs w:val="22"/>
          <w:lang w:val="es-PA"/>
        </w:rPr>
        <w:t xml:space="preserve"> 3. Riesgos Estratégicos y de Gestión</w:t>
      </w:r>
    </w:p>
    <w:p w14:paraId="02D4C3C0" w14:textId="77777777" w:rsidR="00BC16E1" w:rsidRPr="00316415" w:rsidRDefault="00BC16E1" w:rsidP="00E23D2E">
      <w:pPr>
        <w:numPr>
          <w:ilvl w:val="0"/>
          <w:numId w:val="11"/>
        </w:numPr>
        <w:jc w:val="both"/>
        <w:rPr>
          <w:rFonts w:ascii="Arial" w:hAnsi="Arial" w:cs="Arial"/>
          <w:sz w:val="22"/>
          <w:szCs w:val="22"/>
          <w:lang w:val="es-PA"/>
        </w:rPr>
      </w:pPr>
      <w:r w:rsidRPr="00316415">
        <w:rPr>
          <w:rFonts w:ascii="Arial" w:hAnsi="Arial" w:cs="Arial"/>
          <w:sz w:val="22"/>
          <w:szCs w:val="22"/>
          <w:lang w:val="es-PA"/>
        </w:rPr>
        <w:t>Riesgo estratégico</w:t>
      </w:r>
    </w:p>
    <w:p w14:paraId="37666069" w14:textId="77777777" w:rsidR="00BC16E1" w:rsidRPr="00316415" w:rsidRDefault="00BC16E1" w:rsidP="00E23D2E">
      <w:pPr>
        <w:numPr>
          <w:ilvl w:val="0"/>
          <w:numId w:val="11"/>
        </w:numPr>
        <w:jc w:val="both"/>
        <w:rPr>
          <w:rFonts w:ascii="Arial" w:hAnsi="Arial" w:cs="Arial"/>
          <w:sz w:val="22"/>
          <w:szCs w:val="22"/>
          <w:lang w:val="es-PA"/>
        </w:rPr>
      </w:pPr>
      <w:r w:rsidRPr="00316415">
        <w:rPr>
          <w:rFonts w:ascii="Arial" w:hAnsi="Arial" w:cs="Arial"/>
          <w:sz w:val="22"/>
          <w:szCs w:val="22"/>
          <w:lang w:val="es-PA"/>
        </w:rPr>
        <w:t>Riesgo de reputación</w:t>
      </w:r>
    </w:p>
    <w:p w14:paraId="6D8D76CF" w14:textId="77777777" w:rsidR="00BC16E1" w:rsidRPr="00316415" w:rsidRDefault="00BC16E1" w:rsidP="00E23D2E">
      <w:pPr>
        <w:numPr>
          <w:ilvl w:val="0"/>
          <w:numId w:val="11"/>
        </w:numPr>
        <w:jc w:val="both"/>
        <w:rPr>
          <w:rFonts w:ascii="Arial" w:hAnsi="Arial" w:cs="Arial"/>
          <w:sz w:val="22"/>
          <w:szCs w:val="22"/>
          <w:lang w:val="es-PA"/>
        </w:rPr>
      </w:pPr>
      <w:r w:rsidRPr="00316415">
        <w:rPr>
          <w:rFonts w:ascii="Arial" w:hAnsi="Arial" w:cs="Arial"/>
          <w:sz w:val="22"/>
          <w:szCs w:val="22"/>
          <w:lang w:val="es-PA"/>
        </w:rPr>
        <w:t>Riesgo de contagio</w:t>
      </w:r>
    </w:p>
    <w:p w14:paraId="6713CBCC" w14:textId="4ED62101" w:rsidR="00BC16E1" w:rsidRPr="00316415" w:rsidRDefault="00BC16E1" w:rsidP="00E23D2E">
      <w:pPr>
        <w:jc w:val="both"/>
        <w:rPr>
          <w:rFonts w:ascii="Arial" w:hAnsi="Arial" w:cs="Arial"/>
          <w:sz w:val="22"/>
          <w:szCs w:val="22"/>
          <w:lang w:val="es-PA"/>
        </w:rPr>
      </w:pPr>
      <w:r w:rsidRPr="00316415">
        <w:rPr>
          <w:rFonts w:ascii="Arial" w:hAnsi="Arial" w:cs="Arial"/>
          <w:sz w:val="22"/>
          <w:szCs w:val="22"/>
          <w:lang w:val="es-PA"/>
        </w:rPr>
        <w:lastRenderedPageBreak/>
        <w:t xml:space="preserve"> 4. Riesgos Ambientales, Sociales y de Gobernanza (ASG)</w:t>
      </w:r>
    </w:p>
    <w:p w14:paraId="7D7E40D3" w14:textId="77777777" w:rsidR="00BC16E1" w:rsidRPr="00316415" w:rsidRDefault="00BC16E1" w:rsidP="00E23D2E">
      <w:pPr>
        <w:numPr>
          <w:ilvl w:val="0"/>
          <w:numId w:val="12"/>
        </w:numPr>
        <w:jc w:val="both"/>
        <w:rPr>
          <w:rFonts w:ascii="Arial" w:hAnsi="Arial" w:cs="Arial"/>
          <w:sz w:val="22"/>
          <w:szCs w:val="22"/>
          <w:lang w:val="es-PA"/>
        </w:rPr>
      </w:pPr>
      <w:r w:rsidRPr="00316415">
        <w:rPr>
          <w:rFonts w:ascii="Arial" w:hAnsi="Arial" w:cs="Arial"/>
          <w:sz w:val="22"/>
          <w:szCs w:val="22"/>
          <w:lang w:val="es-PA"/>
        </w:rPr>
        <w:t>Riesgo Ambiental, Social y de Gobernanza (ESG)</w:t>
      </w:r>
    </w:p>
    <w:p w14:paraId="0FF65FB6" w14:textId="77777777" w:rsidR="00DB406B" w:rsidRPr="00316415" w:rsidRDefault="00DB406B" w:rsidP="00E23D2E">
      <w:pPr>
        <w:jc w:val="both"/>
        <w:rPr>
          <w:rFonts w:ascii="Arial" w:hAnsi="Arial" w:cs="Arial"/>
          <w:b/>
          <w:bCs/>
          <w:sz w:val="22"/>
          <w:szCs w:val="22"/>
          <w:lang w:val="es-PA"/>
        </w:rPr>
      </w:pPr>
    </w:p>
    <w:p w14:paraId="0A7556B4" w14:textId="1833A2B9" w:rsidR="00DB406B" w:rsidRPr="00316415" w:rsidRDefault="00DB406B" w:rsidP="00E23D2E">
      <w:pPr>
        <w:jc w:val="both"/>
        <w:rPr>
          <w:rFonts w:ascii="Arial" w:hAnsi="Arial" w:cs="Arial"/>
          <w:b/>
          <w:bCs/>
          <w:sz w:val="22"/>
          <w:szCs w:val="22"/>
          <w:lang w:val="es-PA"/>
        </w:rPr>
      </w:pPr>
      <w:r w:rsidRPr="00316415">
        <w:rPr>
          <w:rFonts w:ascii="Arial" w:hAnsi="Arial" w:cs="Arial"/>
          <w:b/>
          <w:bCs/>
          <w:sz w:val="22"/>
          <w:szCs w:val="22"/>
          <w:lang w:val="es-PA"/>
        </w:rPr>
        <w:t>Artículo 5: Tipo de riesgos.</w:t>
      </w:r>
    </w:p>
    <w:p w14:paraId="29866989" w14:textId="0F513416" w:rsidR="00FA1F38" w:rsidRPr="00316415" w:rsidRDefault="00C66D24" w:rsidP="00E23D2E">
      <w:pPr>
        <w:jc w:val="both"/>
        <w:rPr>
          <w:rFonts w:ascii="Arial" w:hAnsi="Arial" w:cs="Arial"/>
          <w:sz w:val="22"/>
          <w:szCs w:val="22"/>
          <w:lang w:val="es-PA"/>
        </w:rPr>
      </w:pPr>
      <w:r w:rsidRPr="00316415">
        <w:rPr>
          <w:rFonts w:ascii="Arial" w:hAnsi="Arial" w:cs="Arial"/>
          <w:sz w:val="22"/>
          <w:szCs w:val="22"/>
          <w:lang w:val="es-PA"/>
        </w:rPr>
        <w:t>R</w:t>
      </w:r>
      <w:r w:rsidR="00FA1F38" w:rsidRPr="00316415">
        <w:rPr>
          <w:rFonts w:ascii="Arial" w:hAnsi="Arial" w:cs="Arial"/>
          <w:sz w:val="22"/>
          <w:szCs w:val="22"/>
          <w:lang w:val="es-PA"/>
        </w:rPr>
        <w:t>ecom</w:t>
      </w:r>
      <w:r w:rsidRPr="00316415">
        <w:rPr>
          <w:rFonts w:ascii="Arial" w:hAnsi="Arial" w:cs="Arial"/>
          <w:sz w:val="22"/>
          <w:szCs w:val="22"/>
          <w:lang w:val="es-PA"/>
        </w:rPr>
        <w:t>endamos</w:t>
      </w:r>
      <w:r w:rsidR="00FA1F38" w:rsidRPr="00316415">
        <w:rPr>
          <w:rFonts w:ascii="Arial" w:hAnsi="Arial" w:cs="Arial"/>
          <w:sz w:val="22"/>
          <w:szCs w:val="22"/>
          <w:lang w:val="es-PA"/>
        </w:rPr>
        <w:t xml:space="preserve"> incluir el riesgo de contraparte que es diferente al riesgo de crédito:  Es la posibilidad de que una entidad incurra en pérdidas y disminuya el valor de sus activos como consecuencia del incumplimiento de una o varias operaciones por parte de sus contrapartes</w:t>
      </w:r>
    </w:p>
    <w:p w14:paraId="5D4C29C0" w14:textId="77777777" w:rsidR="00D6284A" w:rsidRPr="00316415" w:rsidRDefault="00D6284A" w:rsidP="00E23D2E">
      <w:pPr>
        <w:jc w:val="both"/>
        <w:rPr>
          <w:rFonts w:ascii="Arial" w:hAnsi="Arial" w:cs="Arial"/>
          <w:b/>
          <w:bCs/>
          <w:sz w:val="22"/>
          <w:szCs w:val="22"/>
          <w:lang w:val="es-PA"/>
        </w:rPr>
      </w:pPr>
    </w:p>
    <w:p w14:paraId="3CFA589E" w14:textId="77777777" w:rsidR="00122595" w:rsidRPr="00316415" w:rsidRDefault="000B101E" w:rsidP="00E23D2E">
      <w:pPr>
        <w:jc w:val="both"/>
        <w:rPr>
          <w:rFonts w:ascii="Arial" w:hAnsi="Arial" w:cs="Arial"/>
          <w:b/>
          <w:bCs/>
          <w:sz w:val="22"/>
          <w:szCs w:val="22"/>
          <w:lang w:val="es-PA"/>
        </w:rPr>
      </w:pPr>
      <w:r w:rsidRPr="00316415">
        <w:rPr>
          <w:rFonts w:ascii="Arial" w:hAnsi="Arial" w:cs="Arial"/>
          <w:b/>
          <w:bCs/>
          <w:sz w:val="22"/>
          <w:szCs w:val="22"/>
          <w:lang w:val="es-PA"/>
        </w:rPr>
        <w:t>A</w:t>
      </w:r>
      <w:r w:rsidR="00D6284A" w:rsidRPr="00316415">
        <w:rPr>
          <w:rFonts w:ascii="Arial" w:hAnsi="Arial" w:cs="Arial"/>
          <w:b/>
          <w:bCs/>
          <w:sz w:val="22"/>
          <w:szCs w:val="22"/>
          <w:lang w:val="es-PA"/>
        </w:rPr>
        <w:t>rtículo 6: Políticas, procedimientos y controles.</w:t>
      </w:r>
    </w:p>
    <w:p w14:paraId="014E1079" w14:textId="0850C1D4" w:rsidR="00122595" w:rsidRPr="00316415" w:rsidRDefault="00122595" w:rsidP="00E23D2E">
      <w:pPr>
        <w:jc w:val="both"/>
        <w:rPr>
          <w:rFonts w:ascii="Arial" w:hAnsi="Arial" w:cs="Arial"/>
          <w:sz w:val="22"/>
          <w:szCs w:val="22"/>
          <w:lang w:val="es-PA"/>
        </w:rPr>
      </w:pPr>
      <w:r w:rsidRPr="00316415">
        <w:rPr>
          <w:rFonts w:ascii="Arial" w:hAnsi="Arial" w:cs="Arial"/>
          <w:sz w:val="22"/>
          <w:szCs w:val="22"/>
          <w:lang w:val="es-PA"/>
        </w:rPr>
        <w:t xml:space="preserve">Recomendamos </w:t>
      </w:r>
      <w:r w:rsidR="00D67E20" w:rsidRPr="00316415">
        <w:rPr>
          <w:rFonts w:ascii="Arial" w:hAnsi="Arial" w:cs="Arial"/>
          <w:sz w:val="22"/>
          <w:szCs w:val="22"/>
          <w:lang w:val="es-PA"/>
        </w:rPr>
        <w:t>eliminar los</w:t>
      </w:r>
      <w:r w:rsidRPr="00316415">
        <w:rPr>
          <w:rFonts w:ascii="Arial" w:hAnsi="Arial" w:cs="Arial"/>
          <w:sz w:val="22"/>
          <w:szCs w:val="22"/>
          <w:lang w:val="es-PA"/>
        </w:rPr>
        <w:t xml:space="preserve"> 12 puntos que hay que asegurar según las normas de Gobierno Corporativo y porque esto ya está contemplado en el Acuerdo 6-2018 de Gobierno Corporativo y se puede caer en inconsistencias entre los acuerdos durante actualizaciones.</w:t>
      </w:r>
    </w:p>
    <w:p w14:paraId="2ADA8FC8" w14:textId="77777777" w:rsidR="00122595" w:rsidRPr="00316415" w:rsidRDefault="00122595" w:rsidP="00E23D2E">
      <w:pPr>
        <w:jc w:val="both"/>
        <w:rPr>
          <w:rFonts w:ascii="Arial" w:hAnsi="Arial" w:cs="Arial"/>
          <w:b/>
          <w:bCs/>
          <w:sz w:val="22"/>
          <w:szCs w:val="22"/>
          <w:lang w:val="es-PA"/>
        </w:rPr>
      </w:pPr>
    </w:p>
    <w:p w14:paraId="312940ED" w14:textId="77777777" w:rsidR="003A4669" w:rsidRPr="00316415" w:rsidRDefault="007C189B" w:rsidP="00E23D2E">
      <w:pPr>
        <w:jc w:val="both"/>
        <w:rPr>
          <w:rFonts w:ascii="Arial" w:hAnsi="Arial" w:cs="Arial"/>
          <w:b/>
          <w:bCs/>
          <w:sz w:val="22"/>
          <w:szCs w:val="22"/>
          <w:lang w:val="es-PA"/>
        </w:rPr>
      </w:pPr>
      <w:r w:rsidRPr="00316415">
        <w:rPr>
          <w:rFonts w:ascii="Arial" w:hAnsi="Arial" w:cs="Arial"/>
          <w:b/>
          <w:bCs/>
          <w:sz w:val="22"/>
          <w:szCs w:val="22"/>
          <w:lang w:val="es-PA"/>
        </w:rPr>
        <w:t>Artículo 7: Manual de Gestión Integral de Riesgos.</w:t>
      </w:r>
    </w:p>
    <w:p w14:paraId="5CC9B6E8" w14:textId="748A9082" w:rsidR="00D6284A" w:rsidRPr="00316415" w:rsidRDefault="003A4669" w:rsidP="00E23D2E">
      <w:pPr>
        <w:jc w:val="both"/>
        <w:rPr>
          <w:rFonts w:ascii="Arial" w:hAnsi="Arial" w:cs="Arial"/>
          <w:sz w:val="22"/>
          <w:szCs w:val="22"/>
          <w:lang w:val="es-PA"/>
        </w:rPr>
      </w:pPr>
      <w:r w:rsidRPr="00316415">
        <w:rPr>
          <w:rFonts w:ascii="Arial" w:hAnsi="Arial" w:cs="Arial"/>
          <w:sz w:val="22"/>
          <w:szCs w:val="22"/>
          <w:lang w:val="es-PA"/>
        </w:rPr>
        <w:t>E</w:t>
      </w:r>
      <w:r w:rsidR="00307365" w:rsidRPr="00316415">
        <w:rPr>
          <w:rFonts w:ascii="Arial" w:hAnsi="Arial" w:cs="Arial"/>
          <w:sz w:val="22"/>
          <w:szCs w:val="22"/>
          <w:lang w:val="es-PA"/>
        </w:rPr>
        <w:t>s muy detallado sobre los que debe incluir el documento (Manual), pero no establece la obligación de incluir una evaluación de efectividad de controles y de las brechas identificadas en auditorías o revisiones previas, o en otras palabras no incluye una evaluación al menos anual, de la efectividad de los controles y metodologías establecidas y una revisión de los incidentes o eventos dados en dicho periodo.</w:t>
      </w:r>
    </w:p>
    <w:p w14:paraId="4FB1DF62" w14:textId="77777777" w:rsidR="000F5426" w:rsidRPr="00316415" w:rsidRDefault="000F5426" w:rsidP="00E23D2E">
      <w:pPr>
        <w:jc w:val="both"/>
        <w:rPr>
          <w:rFonts w:ascii="Arial" w:hAnsi="Arial" w:cs="Arial"/>
          <w:b/>
          <w:bCs/>
          <w:sz w:val="22"/>
          <w:szCs w:val="22"/>
          <w:lang w:val="es-PA"/>
        </w:rPr>
      </w:pPr>
    </w:p>
    <w:p w14:paraId="21D8D501" w14:textId="77777777" w:rsidR="00E92063" w:rsidRPr="00316415" w:rsidRDefault="00E92063" w:rsidP="00FA433D">
      <w:pPr>
        <w:jc w:val="center"/>
        <w:rPr>
          <w:rFonts w:ascii="Arial" w:hAnsi="Arial" w:cs="Arial"/>
          <w:b/>
          <w:bCs/>
          <w:sz w:val="22"/>
          <w:szCs w:val="22"/>
          <w:lang w:val="es-PA"/>
        </w:rPr>
      </w:pPr>
      <w:r w:rsidRPr="00316415">
        <w:rPr>
          <w:rFonts w:ascii="Arial" w:hAnsi="Arial" w:cs="Arial"/>
          <w:b/>
          <w:bCs/>
          <w:sz w:val="22"/>
          <w:szCs w:val="22"/>
          <w:lang w:val="es-PA"/>
        </w:rPr>
        <w:t>Capitulo III</w:t>
      </w:r>
    </w:p>
    <w:p w14:paraId="1670415C" w14:textId="77777777" w:rsidR="00E92063" w:rsidRPr="00316415" w:rsidRDefault="00E92063" w:rsidP="00FA433D">
      <w:pPr>
        <w:jc w:val="center"/>
        <w:rPr>
          <w:rFonts w:ascii="Arial" w:hAnsi="Arial" w:cs="Arial"/>
          <w:b/>
          <w:bCs/>
          <w:sz w:val="22"/>
          <w:szCs w:val="22"/>
          <w:lang w:val="es-PA"/>
        </w:rPr>
      </w:pPr>
      <w:r w:rsidRPr="00316415">
        <w:rPr>
          <w:rFonts w:ascii="Arial" w:hAnsi="Arial" w:cs="Arial"/>
          <w:b/>
          <w:bCs/>
          <w:sz w:val="22"/>
          <w:szCs w:val="22"/>
          <w:lang w:val="es-PA"/>
        </w:rPr>
        <w:t>Estructura requerida y función de la Administración en la Gestión Integral de Riesgos</w:t>
      </w:r>
    </w:p>
    <w:p w14:paraId="6B883086" w14:textId="77777777" w:rsidR="00E92063" w:rsidRPr="00316415" w:rsidRDefault="00E92063" w:rsidP="00E23D2E">
      <w:pPr>
        <w:jc w:val="both"/>
        <w:rPr>
          <w:rFonts w:ascii="Arial" w:hAnsi="Arial" w:cs="Arial"/>
          <w:b/>
          <w:bCs/>
          <w:sz w:val="22"/>
          <w:szCs w:val="22"/>
          <w:lang w:val="es-PA"/>
        </w:rPr>
      </w:pPr>
    </w:p>
    <w:p w14:paraId="0AB5FA21" w14:textId="77777777" w:rsidR="000C591F" w:rsidRPr="00316415" w:rsidRDefault="00E92063" w:rsidP="00E23D2E">
      <w:pPr>
        <w:jc w:val="both"/>
        <w:rPr>
          <w:rFonts w:ascii="Arial" w:hAnsi="Arial" w:cs="Arial"/>
          <w:b/>
          <w:bCs/>
          <w:sz w:val="22"/>
          <w:szCs w:val="22"/>
          <w:lang w:val="es-PA"/>
        </w:rPr>
      </w:pPr>
      <w:r w:rsidRPr="00316415">
        <w:rPr>
          <w:rFonts w:ascii="Arial" w:hAnsi="Arial" w:cs="Arial"/>
          <w:b/>
          <w:bCs/>
          <w:sz w:val="22"/>
          <w:szCs w:val="22"/>
          <w:lang w:val="es-PA"/>
        </w:rPr>
        <w:t>Artículo 8: Estructura organizativa y de soporte.</w:t>
      </w:r>
    </w:p>
    <w:p w14:paraId="1123B02E" w14:textId="53F000F5" w:rsidR="000C591F" w:rsidRPr="00316415" w:rsidRDefault="000C591F" w:rsidP="00E23D2E">
      <w:pPr>
        <w:jc w:val="both"/>
        <w:rPr>
          <w:rFonts w:ascii="Arial" w:hAnsi="Arial" w:cs="Arial"/>
          <w:sz w:val="22"/>
          <w:szCs w:val="22"/>
          <w:lang w:val="es-PA"/>
        </w:rPr>
      </w:pPr>
      <w:r w:rsidRPr="00316415">
        <w:rPr>
          <w:rFonts w:ascii="Arial" w:hAnsi="Arial" w:cs="Arial"/>
          <w:sz w:val="22"/>
          <w:szCs w:val="22"/>
          <w:lang w:val="es-PA"/>
        </w:rPr>
        <w:t xml:space="preserve">Recomendamos tener un artículo separado relacionado a capacitaciones y se recomienda revisar la factibilidad que requieren en adicional con los requisitos del articulo 13 y del </w:t>
      </w:r>
      <w:r w:rsidR="0078079E" w:rsidRPr="00316415">
        <w:rPr>
          <w:rFonts w:ascii="Arial" w:hAnsi="Arial" w:cs="Arial"/>
          <w:sz w:val="22"/>
          <w:szCs w:val="22"/>
          <w:lang w:val="es-PA"/>
        </w:rPr>
        <w:t>artículo</w:t>
      </w:r>
      <w:r w:rsidRPr="00316415">
        <w:rPr>
          <w:rFonts w:ascii="Arial" w:hAnsi="Arial" w:cs="Arial"/>
          <w:sz w:val="22"/>
          <w:szCs w:val="22"/>
          <w:lang w:val="es-PA"/>
        </w:rPr>
        <w:t xml:space="preserve"> 15 que exigen utilizar proveedores locales.</w:t>
      </w:r>
    </w:p>
    <w:p w14:paraId="3BD706C2" w14:textId="3F21F23B" w:rsidR="00604B52" w:rsidRPr="00316415" w:rsidRDefault="00604B52" w:rsidP="00E23D2E">
      <w:pPr>
        <w:jc w:val="both"/>
        <w:rPr>
          <w:rFonts w:ascii="Arial" w:hAnsi="Arial" w:cs="Arial"/>
          <w:b/>
          <w:bCs/>
          <w:sz w:val="22"/>
          <w:szCs w:val="22"/>
          <w:lang w:val="es-PA"/>
        </w:rPr>
      </w:pPr>
      <w:r w:rsidRPr="00316415">
        <w:rPr>
          <w:rFonts w:ascii="Arial" w:hAnsi="Arial" w:cs="Arial"/>
          <w:b/>
          <w:bCs/>
          <w:sz w:val="22"/>
          <w:szCs w:val="22"/>
          <w:lang w:val="es-PA"/>
        </w:rPr>
        <w:t>Artículo 9 – Responsabilidad de la Junta Directiva:</w:t>
      </w:r>
    </w:p>
    <w:p w14:paraId="017B04CF" w14:textId="390AA8D2" w:rsidR="000609EE" w:rsidRPr="00316415" w:rsidRDefault="00604B52" w:rsidP="00E23D2E">
      <w:pPr>
        <w:jc w:val="both"/>
        <w:rPr>
          <w:rFonts w:ascii="Arial" w:hAnsi="Arial" w:cs="Arial"/>
          <w:sz w:val="22"/>
          <w:szCs w:val="22"/>
          <w:lang w:val="es-PA"/>
        </w:rPr>
      </w:pPr>
      <w:r w:rsidRPr="00316415">
        <w:rPr>
          <w:rFonts w:ascii="Arial" w:hAnsi="Arial" w:cs="Arial"/>
          <w:sz w:val="22"/>
          <w:szCs w:val="22"/>
          <w:lang w:val="es-PA"/>
        </w:rPr>
        <w:t xml:space="preserve">Recomendamos revisar las responsabilidades de la Junta Directiva ya que se cruzan con las funciones del Comité de Administración de Riesgos y asignando funciones operativas a este órgano, se recomienda cambiar los verbos establecer, adoptar, designar por velar, ratificar, etc. </w:t>
      </w:r>
    </w:p>
    <w:p w14:paraId="2F4074BE" w14:textId="4D8C8F60" w:rsidR="0078079E" w:rsidRPr="00316415" w:rsidRDefault="00606748" w:rsidP="00E23D2E">
      <w:pPr>
        <w:jc w:val="both"/>
        <w:rPr>
          <w:rFonts w:ascii="Arial" w:hAnsi="Arial" w:cs="Arial"/>
          <w:b/>
          <w:bCs/>
          <w:sz w:val="22"/>
          <w:szCs w:val="22"/>
          <w:lang w:val="es-PA"/>
        </w:rPr>
      </w:pPr>
      <w:r w:rsidRPr="00316415">
        <w:rPr>
          <w:rFonts w:ascii="Arial" w:hAnsi="Arial" w:cs="Arial"/>
          <w:b/>
          <w:bCs/>
          <w:sz w:val="22"/>
          <w:szCs w:val="22"/>
          <w:lang w:val="es-PA"/>
        </w:rPr>
        <w:t xml:space="preserve">Artículo 10 </w:t>
      </w:r>
      <w:r w:rsidR="00D47576" w:rsidRPr="00316415">
        <w:rPr>
          <w:rFonts w:ascii="Arial" w:hAnsi="Arial" w:cs="Arial"/>
          <w:b/>
          <w:bCs/>
          <w:sz w:val="22"/>
          <w:szCs w:val="22"/>
          <w:lang w:val="es-PA"/>
        </w:rPr>
        <w:t>-</w:t>
      </w:r>
      <w:r w:rsidR="00D67E20" w:rsidRPr="00316415">
        <w:rPr>
          <w:rFonts w:ascii="Arial" w:hAnsi="Arial" w:cs="Arial"/>
          <w:b/>
          <w:bCs/>
          <w:sz w:val="22"/>
          <w:szCs w:val="22"/>
          <w:lang w:val="es-PA"/>
        </w:rPr>
        <w:t>Responsabilidad</w:t>
      </w:r>
      <w:r w:rsidRPr="00316415">
        <w:rPr>
          <w:rFonts w:ascii="Arial" w:hAnsi="Arial" w:cs="Arial"/>
          <w:b/>
          <w:bCs/>
          <w:sz w:val="22"/>
          <w:szCs w:val="22"/>
          <w:lang w:val="es-PA"/>
        </w:rPr>
        <w:t xml:space="preserve"> del ejecutivo principal</w:t>
      </w:r>
      <w:r w:rsidR="0078079E" w:rsidRPr="00316415">
        <w:rPr>
          <w:rFonts w:ascii="Arial" w:hAnsi="Arial" w:cs="Arial"/>
          <w:b/>
          <w:bCs/>
          <w:sz w:val="22"/>
          <w:szCs w:val="22"/>
          <w:lang w:val="es-PA"/>
        </w:rPr>
        <w:t>:</w:t>
      </w:r>
    </w:p>
    <w:p w14:paraId="20383676" w14:textId="543A6960" w:rsidR="00606748" w:rsidRPr="00316415" w:rsidRDefault="0078079E" w:rsidP="00E23D2E">
      <w:pPr>
        <w:jc w:val="both"/>
        <w:rPr>
          <w:rFonts w:ascii="Arial" w:hAnsi="Arial" w:cs="Arial"/>
          <w:sz w:val="22"/>
          <w:szCs w:val="22"/>
          <w:lang w:val="es-PA"/>
        </w:rPr>
      </w:pPr>
      <w:r w:rsidRPr="00316415">
        <w:rPr>
          <w:rFonts w:ascii="Arial" w:hAnsi="Arial" w:cs="Arial"/>
          <w:sz w:val="22"/>
          <w:szCs w:val="22"/>
          <w:lang w:val="es-PA"/>
        </w:rPr>
        <w:lastRenderedPageBreak/>
        <w:t>R</w:t>
      </w:r>
      <w:r w:rsidR="00CC2471" w:rsidRPr="00316415">
        <w:rPr>
          <w:rFonts w:ascii="Arial" w:hAnsi="Arial" w:cs="Arial"/>
          <w:sz w:val="22"/>
          <w:szCs w:val="22"/>
          <w:lang w:val="es-PA"/>
        </w:rPr>
        <w:t>ecomendamos</w:t>
      </w:r>
      <w:r w:rsidR="00606748" w:rsidRPr="00316415">
        <w:rPr>
          <w:rFonts w:ascii="Arial" w:hAnsi="Arial" w:cs="Arial"/>
          <w:sz w:val="22"/>
          <w:szCs w:val="22"/>
          <w:lang w:val="es-PA"/>
        </w:rPr>
        <w:t xml:space="preserve"> la revisión de la responsabilidad #7 relacionada a definir procedimiento que aseguren el apropiado flujo de información, consideramos que esta debe ser una responsabilidad de las unidades responsables de la gestión de riesgos para evitar posibles conflictos</w:t>
      </w:r>
      <w:r w:rsidR="00473C56" w:rsidRPr="00316415">
        <w:rPr>
          <w:rFonts w:ascii="Arial" w:hAnsi="Arial" w:cs="Arial"/>
          <w:sz w:val="22"/>
          <w:szCs w:val="22"/>
          <w:lang w:val="es-PA"/>
        </w:rPr>
        <w:t>.</w:t>
      </w:r>
    </w:p>
    <w:p w14:paraId="19CF2701" w14:textId="5B87D2C2" w:rsidR="00473C56" w:rsidRPr="00316415" w:rsidRDefault="00473C56" w:rsidP="00E23D2E">
      <w:pPr>
        <w:jc w:val="both"/>
        <w:rPr>
          <w:rFonts w:ascii="Arial" w:hAnsi="Arial" w:cs="Arial"/>
          <w:sz w:val="22"/>
          <w:szCs w:val="22"/>
          <w:lang w:val="es-PA"/>
        </w:rPr>
      </w:pPr>
      <w:r w:rsidRPr="00316415">
        <w:rPr>
          <w:rFonts w:ascii="Arial" w:hAnsi="Arial" w:cs="Arial"/>
          <w:sz w:val="22"/>
          <w:szCs w:val="22"/>
          <w:lang w:val="es-PA"/>
        </w:rPr>
        <w:t xml:space="preserve">En entidades bancarias con Licencia de Casa de Valores muchas de las </w:t>
      </w:r>
      <w:r w:rsidR="00D67E20" w:rsidRPr="00316415">
        <w:rPr>
          <w:rFonts w:ascii="Arial" w:hAnsi="Arial" w:cs="Arial"/>
          <w:sz w:val="22"/>
          <w:szCs w:val="22"/>
          <w:lang w:val="es-PA"/>
        </w:rPr>
        <w:t>responsabilidades listadas</w:t>
      </w:r>
      <w:r w:rsidRPr="00316415">
        <w:rPr>
          <w:rFonts w:ascii="Arial" w:hAnsi="Arial" w:cs="Arial"/>
          <w:sz w:val="22"/>
          <w:szCs w:val="22"/>
          <w:lang w:val="es-PA"/>
        </w:rPr>
        <w:t xml:space="preserve"> en el </w:t>
      </w:r>
      <w:r w:rsidR="00D67E20" w:rsidRPr="00316415">
        <w:rPr>
          <w:rFonts w:ascii="Arial" w:hAnsi="Arial" w:cs="Arial"/>
          <w:sz w:val="22"/>
          <w:szCs w:val="22"/>
          <w:lang w:val="es-PA"/>
        </w:rPr>
        <w:t>artículo</w:t>
      </w:r>
      <w:r w:rsidRPr="00316415">
        <w:rPr>
          <w:rFonts w:ascii="Arial" w:hAnsi="Arial" w:cs="Arial"/>
          <w:sz w:val="22"/>
          <w:szCs w:val="22"/>
          <w:lang w:val="es-PA"/>
        </w:rPr>
        <w:t xml:space="preserve"> 10 están centralizadas en la unidad de riesgo quien en coordinación con el Ejecutivo principal y la alta dirección del banco gestionan la GIR. Se recomienda revisar</w:t>
      </w:r>
    </w:p>
    <w:p w14:paraId="5BA24F08" w14:textId="77777777" w:rsidR="000609EE" w:rsidRPr="00316415" w:rsidRDefault="000609EE" w:rsidP="00E23D2E">
      <w:pPr>
        <w:jc w:val="both"/>
        <w:rPr>
          <w:rFonts w:ascii="Arial" w:hAnsi="Arial" w:cs="Arial"/>
          <w:b/>
          <w:bCs/>
          <w:sz w:val="22"/>
          <w:szCs w:val="22"/>
          <w:lang w:val="es-PA"/>
        </w:rPr>
      </w:pPr>
      <w:r w:rsidRPr="00316415">
        <w:rPr>
          <w:rFonts w:ascii="Arial" w:hAnsi="Arial" w:cs="Arial"/>
          <w:b/>
          <w:bCs/>
          <w:sz w:val="22"/>
          <w:szCs w:val="22"/>
          <w:lang w:val="es-PA"/>
        </w:rPr>
        <w:t>Artículo 11: Comité de Administración de Riesgos.</w:t>
      </w:r>
    </w:p>
    <w:p w14:paraId="5C68FF0B" w14:textId="5A4EAA8A" w:rsidR="001D57AC" w:rsidRPr="00316415" w:rsidRDefault="008D684F" w:rsidP="00E23D2E">
      <w:pPr>
        <w:jc w:val="both"/>
        <w:rPr>
          <w:rFonts w:ascii="Arial" w:hAnsi="Arial" w:cs="Arial"/>
          <w:sz w:val="22"/>
          <w:szCs w:val="22"/>
          <w:lang w:val="es-PA"/>
        </w:rPr>
      </w:pPr>
      <w:r w:rsidRPr="00316415">
        <w:rPr>
          <w:rFonts w:ascii="Arial" w:hAnsi="Arial" w:cs="Arial"/>
          <w:sz w:val="22"/>
          <w:szCs w:val="22"/>
          <w:lang w:val="es-PA"/>
        </w:rPr>
        <w:t>R</w:t>
      </w:r>
      <w:r w:rsidR="001D57AC" w:rsidRPr="00316415">
        <w:rPr>
          <w:rFonts w:ascii="Arial" w:hAnsi="Arial" w:cs="Arial"/>
          <w:sz w:val="22"/>
          <w:szCs w:val="22"/>
          <w:lang w:val="es-PA"/>
        </w:rPr>
        <w:t>ecom</w:t>
      </w:r>
      <w:r w:rsidRPr="00316415">
        <w:rPr>
          <w:rFonts w:ascii="Arial" w:hAnsi="Arial" w:cs="Arial"/>
          <w:sz w:val="22"/>
          <w:szCs w:val="22"/>
          <w:lang w:val="es-PA"/>
        </w:rPr>
        <w:t>endamos</w:t>
      </w:r>
      <w:r w:rsidR="001D57AC" w:rsidRPr="00316415">
        <w:rPr>
          <w:rFonts w:ascii="Arial" w:hAnsi="Arial" w:cs="Arial"/>
          <w:sz w:val="22"/>
          <w:szCs w:val="22"/>
          <w:lang w:val="es-PA"/>
        </w:rPr>
        <w:t xml:space="preserve"> establecer el concepto de entidades pequeñas y no complejas</w:t>
      </w:r>
    </w:p>
    <w:p w14:paraId="426DA8B7" w14:textId="7D740D21" w:rsidR="005B495E" w:rsidRPr="00316415" w:rsidRDefault="005B495E" w:rsidP="00E23D2E">
      <w:pPr>
        <w:jc w:val="both"/>
        <w:rPr>
          <w:rFonts w:ascii="Arial" w:hAnsi="Arial" w:cs="Arial"/>
          <w:sz w:val="22"/>
          <w:szCs w:val="22"/>
          <w:lang w:val="es-PA"/>
        </w:rPr>
      </w:pPr>
      <w:r w:rsidRPr="00316415">
        <w:rPr>
          <w:rFonts w:ascii="Arial" w:hAnsi="Arial" w:cs="Arial"/>
          <w:sz w:val="22"/>
          <w:szCs w:val="22"/>
          <w:lang w:val="es-PA"/>
        </w:rPr>
        <w:t xml:space="preserve">En el caso de que el comité de riesgos se fusiones con el comité de ética como se deberá cumplir con la composición </w:t>
      </w:r>
      <w:r w:rsidR="00D67E20" w:rsidRPr="00316415">
        <w:rPr>
          <w:rFonts w:ascii="Arial" w:hAnsi="Arial" w:cs="Arial"/>
          <w:sz w:val="22"/>
          <w:szCs w:val="22"/>
          <w:lang w:val="es-PA"/>
        </w:rPr>
        <w:t>de este</w:t>
      </w:r>
      <w:r w:rsidRPr="00316415">
        <w:rPr>
          <w:rFonts w:ascii="Arial" w:hAnsi="Arial" w:cs="Arial"/>
          <w:sz w:val="22"/>
          <w:szCs w:val="22"/>
          <w:lang w:val="es-PA"/>
        </w:rPr>
        <w:t>, considerando que el comité de ética no tiene el requisito de ser presidido por un director independiente, se recomienda estandarizar los requisitos de ambos comités.</w:t>
      </w:r>
    </w:p>
    <w:p w14:paraId="1F6456E2" w14:textId="3445CDC1" w:rsidR="003820B0" w:rsidRPr="00316415" w:rsidRDefault="009E27B0" w:rsidP="00E23D2E">
      <w:pPr>
        <w:jc w:val="both"/>
        <w:rPr>
          <w:rFonts w:ascii="Arial" w:hAnsi="Arial" w:cs="Arial"/>
          <w:sz w:val="22"/>
          <w:szCs w:val="22"/>
          <w:lang w:val="es-PA"/>
        </w:rPr>
      </w:pPr>
      <w:r w:rsidRPr="00316415">
        <w:rPr>
          <w:rFonts w:ascii="Arial" w:hAnsi="Arial" w:cs="Arial"/>
          <w:sz w:val="22"/>
          <w:szCs w:val="22"/>
          <w:lang w:val="es-PA"/>
        </w:rPr>
        <w:t xml:space="preserve">Se propone que el comité incluya un director independiente pero no necesariamente que presida el comité. </w:t>
      </w:r>
      <w:r w:rsidR="003820B0" w:rsidRPr="00316415">
        <w:rPr>
          <w:rFonts w:ascii="Arial" w:hAnsi="Arial" w:cs="Arial"/>
          <w:sz w:val="22"/>
          <w:szCs w:val="22"/>
          <w:lang w:val="es-PA"/>
        </w:rPr>
        <w:t>También</w:t>
      </w:r>
      <w:r w:rsidRPr="00316415">
        <w:rPr>
          <w:rFonts w:ascii="Arial" w:hAnsi="Arial" w:cs="Arial"/>
          <w:sz w:val="22"/>
          <w:szCs w:val="22"/>
          <w:lang w:val="es-PA"/>
        </w:rPr>
        <w:t xml:space="preserve"> puede generar conflicto si se fusionan los comités porque el de AML lo preside el Oficial de Cumplimiento</w:t>
      </w:r>
      <w:r w:rsidR="000D0DF1" w:rsidRPr="00316415">
        <w:rPr>
          <w:rFonts w:ascii="Arial" w:hAnsi="Arial" w:cs="Arial"/>
          <w:sz w:val="22"/>
          <w:szCs w:val="22"/>
          <w:lang w:val="es-PA"/>
        </w:rPr>
        <w:t>.</w:t>
      </w:r>
    </w:p>
    <w:p w14:paraId="0C3F333B" w14:textId="60C2968A" w:rsidR="00FC1EE1" w:rsidRPr="00316415" w:rsidRDefault="00FC1EE1" w:rsidP="00E23D2E">
      <w:pPr>
        <w:jc w:val="both"/>
        <w:rPr>
          <w:rFonts w:ascii="Arial" w:hAnsi="Arial" w:cs="Arial"/>
          <w:sz w:val="22"/>
          <w:szCs w:val="22"/>
          <w:lang w:val="es-PA"/>
        </w:rPr>
      </w:pPr>
      <w:r w:rsidRPr="00316415">
        <w:rPr>
          <w:rFonts w:ascii="Arial" w:hAnsi="Arial" w:cs="Arial"/>
          <w:sz w:val="22"/>
          <w:szCs w:val="22"/>
          <w:lang w:val="es-PA"/>
        </w:rPr>
        <w:t xml:space="preserve">Respecto a las funciones del comité de administración de riesgos, numeral 2, se recomienda cambiar a dar seguimiento a los riesgos materiales frente a sus límites definidos, en vez de que sean todos los riesgos descritos en el </w:t>
      </w:r>
      <w:r w:rsidR="00D67E20" w:rsidRPr="00316415">
        <w:rPr>
          <w:rFonts w:ascii="Arial" w:hAnsi="Arial" w:cs="Arial"/>
          <w:sz w:val="22"/>
          <w:szCs w:val="22"/>
          <w:lang w:val="es-PA"/>
        </w:rPr>
        <w:t>artículo</w:t>
      </w:r>
      <w:r w:rsidRPr="00316415">
        <w:rPr>
          <w:rFonts w:ascii="Arial" w:hAnsi="Arial" w:cs="Arial"/>
          <w:sz w:val="22"/>
          <w:szCs w:val="22"/>
          <w:lang w:val="es-PA"/>
        </w:rPr>
        <w:t xml:space="preserve"> 5 ya que por los distintos modelos de negocio y niveles de complejidad pueden ser que los riesgos no apliquen o no tengan un impacto en la capacidad de la entidad.</w:t>
      </w:r>
    </w:p>
    <w:p w14:paraId="181CE0AD" w14:textId="77777777" w:rsidR="006C0D35" w:rsidRPr="00316415" w:rsidRDefault="006C0D35" w:rsidP="00E23D2E">
      <w:pPr>
        <w:jc w:val="both"/>
        <w:rPr>
          <w:rFonts w:ascii="Arial" w:hAnsi="Arial" w:cs="Arial"/>
          <w:sz w:val="22"/>
          <w:szCs w:val="22"/>
          <w:lang w:val="es-PA"/>
        </w:rPr>
      </w:pPr>
    </w:p>
    <w:p w14:paraId="58D337F9" w14:textId="77777777" w:rsidR="001B21E0" w:rsidRPr="00316415" w:rsidRDefault="001B21E0" w:rsidP="00E23D2E">
      <w:pPr>
        <w:jc w:val="both"/>
        <w:rPr>
          <w:rFonts w:ascii="Arial" w:hAnsi="Arial" w:cs="Arial"/>
          <w:b/>
          <w:bCs/>
          <w:sz w:val="22"/>
          <w:szCs w:val="22"/>
          <w:lang w:val="es-PA"/>
        </w:rPr>
      </w:pPr>
      <w:r w:rsidRPr="00316415">
        <w:rPr>
          <w:rFonts w:ascii="Arial" w:hAnsi="Arial" w:cs="Arial"/>
          <w:b/>
          <w:bCs/>
          <w:sz w:val="22"/>
          <w:szCs w:val="22"/>
          <w:lang w:val="es-PA"/>
        </w:rPr>
        <w:t>Artículo 12: Funciones del Comité de Administración de Riesgos.</w:t>
      </w:r>
    </w:p>
    <w:p w14:paraId="3A17367E" w14:textId="6DC4629E" w:rsidR="001B21E0" w:rsidRPr="00316415" w:rsidRDefault="00665B62" w:rsidP="00E23D2E">
      <w:pPr>
        <w:jc w:val="both"/>
        <w:rPr>
          <w:rFonts w:ascii="Arial" w:hAnsi="Arial" w:cs="Arial"/>
          <w:sz w:val="22"/>
          <w:szCs w:val="22"/>
          <w:lang w:val="es-PA"/>
        </w:rPr>
      </w:pPr>
      <w:r w:rsidRPr="00316415">
        <w:rPr>
          <w:rFonts w:ascii="Arial" w:hAnsi="Arial" w:cs="Arial"/>
          <w:sz w:val="22"/>
          <w:szCs w:val="22"/>
          <w:lang w:val="es-PA"/>
        </w:rPr>
        <w:t>Para el seguimiento deberían ser los establecidos en el mapa de riesgos pues no todos podrían aplicar.</w:t>
      </w:r>
    </w:p>
    <w:p w14:paraId="52FC9DCF" w14:textId="77777777" w:rsidR="00E93A5F" w:rsidRPr="00316415" w:rsidRDefault="00E93A5F" w:rsidP="00E23D2E">
      <w:pPr>
        <w:jc w:val="both"/>
        <w:rPr>
          <w:rFonts w:ascii="Arial" w:hAnsi="Arial" w:cs="Arial"/>
          <w:sz w:val="22"/>
          <w:szCs w:val="22"/>
          <w:lang w:val="es-PA"/>
        </w:rPr>
      </w:pPr>
      <w:r w:rsidRPr="00316415">
        <w:rPr>
          <w:rFonts w:ascii="Arial" w:hAnsi="Arial" w:cs="Arial"/>
          <w:sz w:val="22"/>
          <w:szCs w:val="22"/>
          <w:lang w:val="es-PA"/>
        </w:rPr>
        <w:t>Posibles conflictos o solapamientos entre el Artículo 9 (Responsabilidad de la Junta Directiva) y el Artículo 12 (Funciones del Comité de Administración de Riesgos), con el objetivo de identificar áreas donde podrían surgir ambigüedades, duplicidades o tensiones funcionales:</w:t>
      </w:r>
    </w:p>
    <w:p w14:paraId="403EF108" w14:textId="77777777" w:rsidR="00E93A5F" w:rsidRPr="00316415" w:rsidRDefault="00E93A5F" w:rsidP="00E23D2E">
      <w:pPr>
        <w:jc w:val="both"/>
        <w:rPr>
          <w:rFonts w:ascii="Arial" w:hAnsi="Arial" w:cs="Arial"/>
          <w:sz w:val="22"/>
          <w:szCs w:val="22"/>
          <w:lang w:val="es-PA"/>
        </w:rPr>
      </w:pPr>
      <w:r w:rsidRPr="00316415">
        <w:rPr>
          <w:rFonts w:ascii="Segoe UI Emoji" w:hAnsi="Segoe UI Emoji" w:cs="Segoe UI Emoji"/>
          <w:sz w:val="22"/>
          <w:szCs w:val="22"/>
          <w:lang w:val="es-PA"/>
        </w:rPr>
        <w:t>🔹</w:t>
      </w:r>
      <w:r w:rsidRPr="00316415">
        <w:rPr>
          <w:rFonts w:ascii="Arial" w:hAnsi="Arial" w:cs="Arial"/>
          <w:sz w:val="22"/>
          <w:szCs w:val="22"/>
          <w:lang w:val="es-PA"/>
        </w:rPr>
        <w:t xml:space="preserve"> 1. Aprobación vs. Ratificación de Políticas y Manuales</w:t>
      </w:r>
    </w:p>
    <w:p w14:paraId="49B189C9" w14:textId="77777777" w:rsidR="00E93A5F" w:rsidRPr="00316415" w:rsidRDefault="00E93A5F" w:rsidP="00E23D2E">
      <w:pPr>
        <w:numPr>
          <w:ilvl w:val="0"/>
          <w:numId w:val="4"/>
        </w:numPr>
        <w:jc w:val="both"/>
        <w:rPr>
          <w:rFonts w:ascii="Arial" w:hAnsi="Arial" w:cs="Arial"/>
          <w:sz w:val="22"/>
          <w:szCs w:val="22"/>
          <w:lang w:val="es-PA"/>
        </w:rPr>
      </w:pPr>
      <w:r w:rsidRPr="00316415">
        <w:rPr>
          <w:rFonts w:ascii="Arial" w:hAnsi="Arial" w:cs="Arial"/>
          <w:sz w:val="22"/>
          <w:szCs w:val="22"/>
          <w:lang w:val="es-PA"/>
        </w:rPr>
        <w:t>Artículo 12.7: El Comité aprueba el Manual de Gestión Integral de Riesgos (GIR) y lo envía a la Junta Directiva.</w:t>
      </w:r>
    </w:p>
    <w:p w14:paraId="3AFFC19B" w14:textId="77777777" w:rsidR="00E93A5F" w:rsidRPr="00316415" w:rsidRDefault="00E93A5F" w:rsidP="00E23D2E">
      <w:pPr>
        <w:numPr>
          <w:ilvl w:val="0"/>
          <w:numId w:val="4"/>
        </w:numPr>
        <w:jc w:val="both"/>
        <w:rPr>
          <w:rFonts w:ascii="Arial" w:hAnsi="Arial" w:cs="Arial"/>
          <w:sz w:val="22"/>
          <w:szCs w:val="22"/>
          <w:lang w:val="es-PA"/>
        </w:rPr>
      </w:pPr>
      <w:r w:rsidRPr="00316415">
        <w:rPr>
          <w:rFonts w:ascii="Arial" w:hAnsi="Arial" w:cs="Arial"/>
          <w:sz w:val="22"/>
          <w:szCs w:val="22"/>
          <w:lang w:val="es-PA"/>
        </w:rPr>
        <w:t>Artículo 9.3: La Junta Directiva ratifica el Manual de GIR.</w:t>
      </w:r>
    </w:p>
    <w:p w14:paraId="00B32C22" w14:textId="77777777" w:rsidR="00E93A5F" w:rsidRPr="00316415" w:rsidRDefault="00E93A5F" w:rsidP="00E23D2E">
      <w:pPr>
        <w:jc w:val="both"/>
        <w:rPr>
          <w:rFonts w:ascii="Arial" w:hAnsi="Arial" w:cs="Arial"/>
          <w:sz w:val="22"/>
          <w:szCs w:val="22"/>
          <w:lang w:val="es-PA"/>
        </w:rPr>
      </w:pPr>
      <w:r w:rsidRPr="00316415">
        <w:rPr>
          <w:rFonts w:ascii="Arial" w:hAnsi="Arial" w:cs="Arial"/>
          <w:sz w:val="22"/>
          <w:szCs w:val="22"/>
          <w:lang w:val="es-PA"/>
        </w:rPr>
        <w:t>Posible conflicto: Si la Junta Directiva tiene objeciones al manual ya aprobado por el Comité, puede haber un retraso o una contradicción en su implementación. La línea entre “aprobar” y “ratificar” puede volverse ambigua si no se define claramente el alcance de cada acción.</w:t>
      </w:r>
    </w:p>
    <w:p w14:paraId="74B0B923" w14:textId="77777777" w:rsidR="00E93A5F" w:rsidRPr="00316415" w:rsidRDefault="00E93A5F" w:rsidP="00E23D2E">
      <w:pPr>
        <w:jc w:val="both"/>
        <w:rPr>
          <w:rFonts w:ascii="Arial" w:hAnsi="Arial" w:cs="Arial"/>
          <w:sz w:val="22"/>
          <w:szCs w:val="22"/>
          <w:lang w:val="es-PA"/>
        </w:rPr>
      </w:pPr>
      <w:r w:rsidRPr="00316415">
        <w:rPr>
          <w:rFonts w:ascii="Segoe UI Emoji" w:hAnsi="Segoe UI Emoji" w:cs="Segoe UI Emoji"/>
          <w:sz w:val="22"/>
          <w:szCs w:val="22"/>
          <w:lang w:val="es-PA"/>
        </w:rPr>
        <w:lastRenderedPageBreak/>
        <w:t>🔹</w:t>
      </w:r>
      <w:r w:rsidRPr="00316415">
        <w:rPr>
          <w:rFonts w:ascii="Arial" w:hAnsi="Arial" w:cs="Arial"/>
          <w:sz w:val="22"/>
          <w:szCs w:val="22"/>
          <w:lang w:val="es-PA"/>
        </w:rPr>
        <w:t xml:space="preserve"> 2. Aprobación del Apetito de Riesgo</w:t>
      </w:r>
    </w:p>
    <w:p w14:paraId="3ABB7B0A" w14:textId="77777777" w:rsidR="00E93A5F" w:rsidRPr="00316415" w:rsidRDefault="00E93A5F" w:rsidP="00E23D2E">
      <w:pPr>
        <w:numPr>
          <w:ilvl w:val="0"/>
          <w:numId w:val="5"/>
        </w:numPr>
        <w:jc w:val="both"/>
        <w:rPr>
          <w:rFonts w:ascii="Arial" w:hAnsi="Arial" w:cs="Arial"/>
          <w:sz w:val="22"/>
          <w:szCs w:val="22"/>
          <w:lang w:val="es-PA"/>
        </w:rPr>
      </w:pPr>
      <w:r w:rsidRPr="00316415">
        <w:rPr>
          <w:rFonts w:ascii="Arial" w:hAnsi="Arial" w:cs="Arial"/>
          <w:sz w:val="22"/>
          <w:szCs w:val="22"/>
          <w:lang w:val="es-PA"/>
        </w:rPr>
        <w:t>Artículo 12.5: El Comité aprueba los planes sobre apetito de riesgo.</w:t>
      </w:r>
    </w:p>
    <w:p w14:paraId="456BEF4C" w14:textId="77777777" w:rsidR="00E93A5F" w:rsidRPr="00316415" w:rsidRDefault="00E93A5F" w:rsidP="00E23D2E">
      <w:pPr>
        <w:numPr>
          <w:ilvl w:val="0"/>
          <w:numId w:val="5"/>
        </w:numPr>
        <w:jc w:val="both"/>
        <w:rPr>
          <w:rFonts w:ascii="Arial" w:hAnsi="Arial" w:cs="Arial"/>
          <w:sz w:val="22"/>
          <w:szCs w:val="22"/>
          <w:lang w:val="es-PA"/>
        </w:rPr>
      </w:pPr>
      <w:r w:rsidRPr="00316415">
        <w:rPr>
          <w:rFonts w:ascii="Arial" w:hAnsi="Arial" w:cs="Arial"/>
          <w:sz w:val="22"/>
          <w:szCs w:val="22"/>
          <w:lang w:val="es-PA"/>
        </w:rPr>
        <w:t>Artículo 9.8: La Junta Directiva establece el apetito y la capacidad de riesgo.</w:t>
      </w:r>
    </w:p>
    <w:p w14:paraId="58C80715" w14:textId="77777777" w:rsidR="00E93A5F" w:rsidRPr="00316415" w:rsidRDefault="00E93A5F" w:rsidP="00E23D2E">
      <w:pPr>
        <w:jc w:val="both"/>
        <w:rPr>
          <w:rFonts w:ascii="Arial" w:hAnsi="Arial" w:cs="Arial"/>
          <w:sz w:val="22"/>
          <w:szCs w:val="22"/>
          <w:lang w:val="es-PA"/>
        </w:rPr>
      </w:pPr>
      <w:r w:rsidRPr="00316415">
        <w:rPr>
          <w:rFonts w:ascii="Arial" w:hAnsi="Arial" w:cs="Arial"/>
          <w:sz w:val="22"/>
          <w:szCs w:val="22"/>
          <w:lang w:val="es-PA"/>
        </w:rPr>
        <w:t>Posible conflicto: Ambos órganos tienen funciones sobre el apetito de riesgo. Si no se aclara si el Comité solo propone o también aprueba, puede haber duplicidad o contradicción en decisiones estratégicas clave.</w:t>
      </w:r>
    </w:p>
    <w:p w14:paraId="0CC48D9E" w14:textId="250D9C18" w:rsidR="00E93A5F" w:rsidRPr="00316415" w:rsidRDefault="00E93A5F" w:rsidP="00E23D2E">
      <w:pPr>
        <w:jc w:val="both"/>
        <w:rPr>
          <w:rFonts w:ascii="Arial" w:hAnsi="Arial" w:cs="Arial"/>
          <w:sz w:val="22"/>
          <w:szCs w:val="22"/>
          <w:lang w:val="es-PA"/>
        </w:rPr>
      </w:pPr>
      <w:r w:rsidRPr="00316415">
        <w:rPr>
          <w:rFonts w:ascii="Segoe UI Emoji" w:hAnsi="Segoe UI Emoji" w:cs="Segoe UI Emoji"/>
          <w:sz w:val="22"/>
          <w:szCs w:val="22"/>
          <w:lang w:val="es-PA"/>
        </w:rPr>
        <w:t>🔹</w:t>
      </w:r>
      <w:r w:rsidRPr="00316415">
        <w:rPr>
          <w:rFonts w:ascii="Arial" w:hAnsi="Arial" w:cs="Arial"/>
          <w:sz w:val="22"/>
          <w:szCs w:val="22"/>
          <w:lang w:val="es-PA"/>
        </w:rPr>
        <w:t xml:space="preserve"> 3. Supervisión del </w:t>
      </w:r>
      <w:r w:rsidR="008B5A43" w:rsidRPr="00316415">
        <w:rPr>
          <w:rFonts w:ascii="Arial" w:hAnsi="Arial" w:cs="Arial"/>
          <w:sz w:val="22"/>
          <w:szCs w:val="22"/>
          <w:lang w:val="es-PA"/>
        </w:rPr>
        <w:t>responsable</w:t>
      </w:r>
      <w:r w:rsidRPr="00316415">
        <w:rPr>
          <w:rFonts w:ascii="Arial" w:hAnsi="Arial" w:cs="Arial"/>
          <w:sz w:val="22"/>
          <w:szCs w:val="22"/>
          <w:lang w:val="es-PA"/>
        </w:rPr>
        <w:t xml:space="preserve"> de Gestión de Riesgos</w:t>
      </w:r>
    </w:p>
    <w:p w14:paraId="6B79A9D5" w14:textId="77777777" w:rsidR="00E93A5F" w:rsidRPr="00316415" w:rsidRDefault="00E93A5F" w:rsidP="00E23D2E">
      <w:pPr>
        <w:numPr>
          <w:ilvl w:val="0"/>
          <w:numId w:val="6"/>
        </w:numPr>
        <w:jc w:val="both"/>
        <w:rPr>
          <w:rFonts w:ascii="Arial" w:hAnsi="Arial" w:cs="Arial"/>
          <w:sz w:val="22"/>
          <w:szCs w:val="22"/>
          <w:lang w:val="es-PA"/>
        </w:rPr>
      </w:pPr>
      <w:r w:rsidRPr="00316415">
        <w:rPr>
          <w:rFonts w:ascii="Arial" w:hAnsi="Arial" w:cs="Arial"/>
          <w:sz w:val="22"/>
          <w:szCs w:val="22"/>
          <w:lang w:val="es-PA"/>
        </w:rPr>
        <w:t>Artículo 9.5: La Junta designa al responsable de la gestión de riesgos.</w:t>
      </w:r>
    </w:p>
    <w:p w14:paraId="35753C80" w14:textId="77777777" w:rsidR="00E93A5F" w:rsidRPr="00316415" w:rsidRDefault="00E93A5F" w:rsidP="00E23D2E">
      <w:pPr>
        <w:numPr>
          <w:ilvl w:val="0"/>
          <w:numId w:val="6"/>
        </w:numPr>
        <w:jc w:val="both"/>
        <w:rPr>
          <w:rFonts w:ascii="Arial" w:hAnsi="Arial" w:cs="Arial"/>
          <w:sz w:val="22"/>
          <w:szCs w:val="22"/>
          <w:lang w:val="es-PA"/>
        </w:rPr>
      </w:pPr>
      <w:r w:rsidRPr="00316415">
        <w:rPr>
          <w:rFonts w:ascii="Arial" w:hAnsi="Arial" w:cs="Arial"/>
          <w:sz w:val="22"/>
          <w:szCs w:val="22"/>
          <w:lang w:val="es-PA"/>
        </w:rPr>
        <w:t>Artículo 12.4: El Comité evalúa el desempeño de esa persona o unidad.</w:t>
      </w:r>
    </w:p>
    <w:p w14:paraId="6D9ED888" w14:textId="77777777" w:rsidR="00E93A5F" w:rsidRPr="00316415" w:rsidRDefault="00E93A5F" w:rsidP="00E23D2E">
      <w:pPr>
        <w:jc w:val="both"/>
        <w:rPr>
          <w:rFonts w:ascii="Arial" w:hAnsi="Arial" w:cs="Arial"/>
          <w:sz w:val="22"/>
          <w:szCs w:val="22"/>
          <w:lang w:val="es-PA"/>
        </w:rPr>
      </w:pPr>
      <w:r w:rsidRPr="00316415">
        <w:rPr>
          <w:rFonts w:ascii="Arial" w:hAnsi="Arial" w:cs="Arial"/>
          <w:sz w:val="22"/>
          <w:szCs w:val="22"/>
          <w:lang w:val="es-PA"/>
        </w:rPr>
        <w:t>Posible conflicto: Si el Comité evalúa negativamente al responsable que fue designado por la Junta, puede haber tensiones sobre su permanencia o desempeño, especialmente si no hay un protocolo claro de resolución.</w:t>
      </w:r>
    </w:p>
    <w:p w14:paraId="01E5D80A" w14:textId="77777777" w:rsidR="00E93A5F" w:rsidRPr="00316415" w:rsidRDefault="00E93A5F" w:rsidP="00E23D2E">
      <w:pPr>
        <w:jc w:val="both"/>
        <w:rPr>
          <w:rFonts w:ascii="Arial" w:hAnsi="Arial" w:cs="Arial"/>
          <w:sz w:val="22"/>
          <w:szCs w:val="22"/>
          <w:lang w:val="es-PA"/>
        </w:rPr>
      </w:pPr>
      <w:r w:rsidRPr="00316415">
        <w:rPr>
          <w:rFonts w:ascii="Segoe UI Emoji" w:hAnsi="Segoe UI Emoji" w:cs="Segoe UI Emoji"/>
          <w:sz w:val="22"/>
          <w:szCs w:val="22"/>
          <w:lang w:val="es-PA"/>
        </w:rPr>
        <w:t>🔹</w:t>
      </w:r>
      <w:r w:rsidRPr="00316415">
        <w:rPr>
          <w:rFonts w:ascii="Arial" w:hAnsi="Arial" w:cs="Arial"/>
          <w:sz w:val="22"/>
          <w:szCs w:val="22"/>
          <w:lang w:val="es-PA"/>
        </w:rPr>
        <w:t xml:space="preserve"> 4. Seguimiento y Reportes</w:t>
      </w:r>
    </w:p>
    <w:p w14:paraId="699DAA35" w14:textId="77777777" w:rsidR="00E93A5F" w:rsidRPr="00316415" w:rsidRDefault="00E93A5F" w:rsidP="00E23D2E">
      <w:pPr>
        <w:numPr>
          <w:ilvl w:val="0"/>
          <w:numId w:val="7"/>
        </w:numPr>
        <w:jc w:val="both"/>
        <w:rPr>
          <w:rFonts w:ascii="Arial" w:hAnsi="Arial" w:cs="Arial"/>
          <w:sz w:val="22"/>
          <w:szCs w:val="22"/>
          <w:lang w:val="es-PA"/>
        </w:rPr>
      </w:pPr>
      <w:r w:rsidRPr="00316415">
        <w:rPr>
          <w:rFonts w:ascii="Arial" w:hAnsi="Arial" w:cs="Arial"/>
          <w:sz w:val="22"/>
          <w:szCs w:val="22"/>
          <w:lang w:val="es-PA"/>
        </w:rPr>
        <w:t>Artículo 12.2: El Comité da seguimiento a las exposiciones a riesgos y reporta a la Junta.</w:t>
      </w:r>
    </w:p>
    <w:p w14:paraId="6097A465" w14:textId="77777777" w:rsidR="00E93A5F" w:rsidRPr="00316415" w:rsidRDefault="00E93A5F" w:rsidP="00E23D2E">
      <w:pPr>
        <w:numPr>
          <w:ilvl w:val="0"/>
          <w:numId w:val="7"/>
        </w:numPr>
        <w:jc w:val="both"/>
        <w:rPr>
          <w:rFonts w:ascii="Arial" w:hAnsi="Arial" w:cs="Arial"/>
          <w:sz w:val="22"/>
          <w:szCs w:val="22"/>
          <w:lang w:val="es-PA"/>
        </w:rPr>
      </w:pPr>
      <w:r w:rsidRPr="00316415">
        <w:rPr>
          <w:rFonts w:ascii="Arial" w:hAnsi="Arial" w:cs="Arial"/>
          <w:sz w:val="22"/>
          <w:szCs w:val="22"/>
          <w:lang w:val="es-PA"/>
        </w:rPr>
        <w:t>Artículo 9.10: La Junta debe velar por el desempeño de la GIR mediante reportes del Comité o directamente.</w:t>
      </w:r>
    </w:p>
    <w:p w14:paraId="094C8D3E" w14:textId="1931B047" w:rsidR="001B21E0" w:rsidRPr="00316415" w:rsidRDefault="00E93A5F" w:rsidP="00E23D2E">
      <w:pPr>
        <w:jc w:val="both"/>
        <w:rPr>
          <w:rFonts w:ascii="Arial" w:hAnsi="Arial" w:cs="Arial"/>
          <w:sz w:val="22"/>
          <w:szCs w:val="22"/>
          <w:lang w:val="es-PA"/>
        </w:rPr>
      </w:pPr>
      <w:r w:rsidRPr="00316415">
        <w:rPr>
          <w:rFonts w:ascii="Arial" w:hAnsi="Arial" w:cs="Arial"/>
          <w:sz w:val="22"/>
          <w:szCs w:val="22"/>
          <w:lang w:val="es-PA"/>
        </w:rPr>
        <w:t>Posible conflicto: Si la Junta solicita información directamente a la unidad de riesgos, podría debilitar la autoridad del Comité o generar canales paralelos de supervisión.</w:t>
      </w:r>
    </w:p>
    <w:p w14:paraId="59DD3F6E" w14:textId="77777777" w:rsidR="00C70093" w:rsidRPr="00316415" w:rsidRDefault="00C70093" w:rsidP="00E23D2E">
      <w:pPr>
        <w:jc w:val="both"/>
        <w:rPr>
          <w:rFonts w:ascii="Arial" w:hAnsi="Arial" w:cs="Arial"/>
          <w:b/>
          <w:bCs/>
          <w:sz w:val="22"/>
          <w:szCs w:val="22"/>
          <w:lang w:val="es-PA"/>
        </w:rPr>
      </w:pPr>
      <w:r w:rsidRPr="00316415">
        <w:rPr>
          <w:rFonts w:ascii="Arial" w:hAnsi="Arial" w:cs="Arial"/>
          <w:b/>
          <w:bCs/>
          <w:sz w:val="22"/>
          <w:szCs w:val="22"/>
          <w:lang w:val="es-PA"/>
        </w:rPr>
        <w:t>Artículo 13: Órgano de Gestión de Riesgos.</w:t>
      </w:r>
    </w:p>
    <w:p w14:paraId="58031128" w14:textId="4CA31B29" w:rsidR="00A86A44" w:rsidRPr="00316415" w:rsidRDefault="00A86A44" w:rsidP="00E23D2E">
      <w:pPr>
        <w:jc w:val="both"/>
        <w:rPr>
          <w:rFonts w:ascii="Arial" w:hAnsi="Arial" w:cs="Arial"/>
          <w:sz w:val="22"/>
          <w:szCs w:val="22"/>
          <w:lang w:val="es-PA"/>
        </w:rPr>
      </w:pPr>
      <w:r w:rsidRPr="00316415">
        <w:rPr>
          <w:rFonts w:ascii="Arial" w:hAnsi="Arial" w:cs="Arial"/>
          <w:sz w:val="22"/>
          <w:szCs w:val="22"/>
          <w:lang w:val="es-PA"/>
        </w:rPr>
        <w:t xml:space="preserve">En el artículo 15 </w:t>
      </w:r>
      <w:r w:rsidR="008B5A43">
        <w:rPr>
          <w:rFonts w:ascii="Arial" w:hAnsi="Arial" w:cs="Arial"/>
          <w:sz w:val="22"/>
          <w:szCs w:val="22"/>
          <w:lang w:val="es-PA"/>
        </w:rPr>
        <w:t xml:space="preserve">da </w:t>
      </w:r>
      <w:r w:rsidRPr="00316415">
        <w:rPr>
          <w:rFonts w:ascii="Arial" w:hAnsi="Arial" w:cs="Arial"/>
          <w:sz w:val="22"/>
          <w:szCs w:val="22"/>
          <w:lang w:val="es-PA"/>
        </w:rPr>
        <w:t xml:space="preserve">la posibilidad de tercerizar las funciones de la unidad de riesgos, no obstante, el artículo 13 exige independencia total de las áreas operativas, lo cual no es viable para entidades pequeñas (menor a 5 personas), y les cierra por completo la posibilidad de definir un responsable internamente sin alterar drásticamente su estructura organizacional y/o presupuestaria.  </w:t>
      </w:r>
    </w:p>
    <w:p w14:paraId="08B60FA4" w14:textId="77777777" w:rsidR="00A86A44" w:rsidRPr="00316415" w:rsidRDefault="00A86A44" w:rsidP="00E23D2E">
      <w:pPr>
        <w:jc w:val="both"/>
        <w:rPr>
          <w:rFonts w:ascii="Arial" w:hAnsi="Arial" w:cs="Arial"/>
          <w:sz w:val="22"/>
          <w:szCs w:val="22"/>
          <w:lang w:val="es-PA"/>
        </w:rPr>
      </w:pPr>
    </w:p>
    <w:p w14:paraId="4B82AD77" w14:textId="77777777" w:rsidR="00A86A44" w:rsidRPr="00316415" w:rsidRDefault="00A86A44" w:rsidP="00E23D2E">
      <w:pPr>
        <w:jc w:val="both"/>
        <w:rPr>
          <w:rFonts w:ascii="Arial" w:hAnsi="Arial" w:cs="Arial"/>
          <w:sz w:val="22"/>
          <w:szCs w:val="22"/>
          <w:lang w:val="es-PA"/>
        </w:rPr>
      </w:pPr>
      <w:r w:rsidRPr="00316415">
        <w:rPr>
          <w:rFonts w:ascii="Arial" w:hAnsi="Arial" w:cs="Arial"/>
          <w:sz w:val="22"/>
          <w:szCs w:val="22"/>
          <w:lang w:val="es-PA"/>
        </w:rPr>
        <w:t>Adicionalmente, con respecto La función de Gestión Integral de Riesgos deberá recaer en un órgano o unidad independiente del Ejecutivo Principal, de la función de cumplimiento, y de las áreas de negocio o finanzas. En entidades pequeñas, debería permitirse la concentración funcional, siempre que se documenten los mecanismos de mitigación de conflicto de interés y exista revisión externa independiente semestral.”</w:t>
      </w:r>
    </w:p>
    <w:p w14:paraId="6F45927B" w14:textId="77777777" w:rsidR="00A86A44" w:rsidRPr="00316415" w:rsidRDefault="00A86A44" w:rsidP="00E23D2E">
      <w:pPr>
        <w:jc w:val="both"/>
        <w:rPr>
          <w:rFonts w:ascii="Arial" w:hAnsi="Arial" w:cs="Arial"/>
          <w:sz w:val="22"/>
          <w:szCs w:val="22"/>
          <w:lang w:val="es-PA"/>
        </w:rPr>
      </w:pPr>
    </w:p>
    <w:p w14:paraId="5B117A3C" w14:textId="77777777" w:rsidR="00A86A44" w:rsidRPr="00316415" w:rsidRDefault="00A86A44" w:rsidP="00E23D2E">
      <w:pPr>
        <w:jc w:val="both"/>
        <w:rPr>
          <w:rFonts w:ascii="Arial" w:hAnsi="Arial" w:cs="Arial"/>
          <w:i/>
          <w:iCs/>
          <w:sz w:val="22"/>
          <w:szCs w:val="22"/>
          <w:lang w:val="es-PA"/>
        </w:rPr>
      </w:pPr>
      <w:r w:rsidRPr="00316415">
        <w:rPr>
          <w:rFonts w:ascii="Arial" w:hAnsi="Arial" w:cs="Arial"/>
          <w:i/>
          <w:iCs/>
          <w:sz w:val="22"/>
          <w:szCs w:val="22"/>
          <w:lang w:val="es-PA"/>
        </w:rPr>
        <w:lastRenderedPageBreak/>
        <w:t>“Basado en el Principio de proporcionalidad regulatoria, consideramos que se debería permitir en entidades pequeñas un enfoque proporcional con mitigantes como revisión externa semestral o una matriz de conflicto de funciones”.</w:t>
      </w:r>
    </w:p>
    <w:p w14:paraId="488B2BE2" w14:textId="77777777" w:rsidR="00A86A44" w:rsidRPr="00316415" w:rsidRDefault="00A86A44" w:rsidP="00E23D2E">
      <w:pPr>
        <w:jc w:val="both"/>
        <w:rPr>
          <w:rFonts w:ascii="Arial" w:hAnsi="Arial" w:cs="Arial"/>
          <w:sz w:val="22"/>
          <w:szCs w:val="22"/>
          <w:lang w:val="es-PA"/>
        </w:rPr>
      </w:pPr>
    </w:p>
    <w:p w14:paraId="1E1F6002" w14:textId="77777777" w:rsidR="00A86A44" w:rsidRPr="00316415" w:rsidRDefault="00A86A44" w:rsidP="00E23D2E">
      <w:pPr>
        <w:jc w:val="both"/>
        <w:rPr>
          <w:rFonts w:ascii="Arial" w:hAnsi="Arial" w:cs="Arial"/>
          <w:sz w:val="22"/>
          <w:szCs w:val="22"/>
          <w:lang w:val="es-PA"/>
        </w:rPr>
      </w:pPr>
      <w:r w:rsidRPr="00316415">
        <w:rPr>
          <w:rFonts w:ascii="Arial" w:hAnsi="Arial" w:cs="Arial"/>
          <w:sz w:val="22"/>
          <w:szCs w:val="22"/>
          <w:lang w:val="es-PA"/>
        </w:rPr>
        <w:t>Por otro lado, el artículo 13, define que la persona o el equipo encargado deben poseer dos de cinco requisitos, de los cuales tenemos los siguientes comentarios:</w:t>
      </w:r>
    </w:p>
    <w:p w14:paraId="34B2FD93" w14:textId="77777777" w:rsidR="00A86A44" w:rsidRPr="00316415" w:rsidRDefault="00A86A44" w:rsidP="00E23D2E">
      <w:pPr>
        <w:jc w:val="both"/>
        <w:rPr>
          <w:rFonts w:ascii="Arial" w:hAnsi="Arial" w:cs="Arial"/>
          <w:sz w:val="22"/>
          <w:szCs w:val="22"/>
          <w:lang w:val="es-PA"/>
        </w:rPr>
      </w:pPr>
    </w:p>
    <w:p w14:paraId="51B6C9DE" w14:textId="77777777" w:rsidR="00A86A44" w:rsidRPr="00316415" w:rsidRDefault="00A86A44" w:rsidP="00E23D2E">
      <w:pPr>
        <w:jc w:val="both"/>
        <w:rPr>
          <w:rFonts w:ascii="Arial" w:hAnsi="Arial" w:cs="Arial"/>
          <w:sz w:val="22"/>
          <w:szCs w:val="22"/>
          <w:lang w:val="es-PA"/>
        </w:rPr>
      </w:pPr>
      <w:r w:rsidRPr="00316415">
        <w:rPr>
          <w:rFonts w:ascii="Arial" w:hAnsi="Arial" w:cs="Arial"/>
          <w:sz w:val="22"/>
          <w:szCs w:val="22"/>
          <w:lang w:val="es-PA"/>
        </w:rPr>
        <w:t>1. Estudios (título) Universitarios en Riesgos, debería alinearse con estándares razonables, y permitir carreras afines, y/o experiencias comprobadas en operaciones financieras en general.</w:t>
      </w:r>
    </w:p>
    <w:p w14:paraId="6C6B1ED7" w14:textId="77777777" w:rsidR="00A86A44" w:rsidRPr="00316415" w:rsidRDefault="00A86A44" w:rsidP="00E23D2E">
      <w:pPr>
        <w:jc w:val="both"/>
        <w:rPr>
          <w:rFonts w:ascii="Arial" w:hAnsi="Arial" w:cs="Arial"/>
          <w:sz w:val="22"/>
          <w:szCs w:val="22"/>
          <w:lang w:val="es-PA"/>
        </w:rPr>
      </w:pPr>
      <w:r w:rsidRPr="00316415">
        <w:rPr>
          <w:rFonts w:ascii="Arial" w:hAnsi="Arial" w:cs="Arial"/>
          <w:sz w:val="22"/>
          <w:szCs w:val="22"/>
          <w:lang w:val="es-PA"/>
        </w:rPr>
        <w:t xml:space="preserve">2. Colocar dentro de los requerimientos poseer una certificación de riesgos internacional, consideramos que es bastante excesiva, la cual inhabilitaría y encarecería significativamente el costo de dicha unidad de riesgo, inclusive si se llegara a tercerizar. Especialmente si tomamos en cuenta que dichas certificaciones no son exigidas en el sector bancario que usualmente poseen mayor estructura, necesidades y recursos. </w:t>
      </w:r>
    </w:p>
    <w:p w14:paraId="648B0C19" w14:textId="77777777" w:rsidR="00A86A44" w:rsidRPr="00316415" w:rsidRDefault="00A86A44" w:rsidP="00E23D2E">
      <w:pPr>
        <w:jc w:val="both"/>
        <w:rPr>
          <w:rFonts w:ascii="Arial" w:hAnsi="Arial" w:cs="Arial"/>
          <w:sz w:val="22"/>
          <w:szCs w:val="22"/>
          <w:lang w:val="es-PA"/>
        </w:rPr>
      </w:pPr>
    </w:p>
    <w:p w14:paraId="455C0DCC" w14:textId="77777777" w:rsidR="00A86A44" w:rsidRPr="00316415" w:rsidRDefault="00A86A44" w:rsidP="00E23D2E">
      <w:pPr>
        <w:jc w:val="both"/>
        <w:rPr>
          <w:rFonts w:ascii="Arial" w:hAnsi="Arial" w:cs="Arial"/>
          <w:i/>
          <w:iCs/>
          <w:sz w:val="22"/>
          <w:szCs w:val="22"/>
          <w:lang w:val="es-PA"/>
        </w:rPr>
      </w:pPr>
      <w:r w:rsidRPr="00316415">
        <w:rPr>
          <w:rFonts w:ascii="Arial" w:hAnsi="Arial" w:cs="Arial"/>
          <w:i/>
          <w:iCs/>
          <w:sz w:val="22"/>
          <w:szCs w:val="22"/>
          <w:lang w:val="es-PA"/>
        </w:rPr>
        <w:t>“Basado en los dos puntos arriba mencionados y nuevamente tomando en cuenta el principio de proporcionalidad regulatoria, consideramos que la unidad de riesgos debería ser liderada por un profesional con preparación académica superior en temas de riesgos, finanzas o carreras afines, poseer amplios conocimientos técnicos de administración de riesgos, en especial operativos, y con extensa experiencia comprobada, directa o indirecta, en el mercado de valores. No necesariamente exigir esto para el resto del equipo.</w:t>
      </w:r>
    </w:p>
    <w:p w14:paraId="778A2878" w14:textId="77777777" w:rsidR="00A86A44" w:rsidRPr="00316415" w:rsidRDefault="00A86A44" w:rsidP="00E23D2E">
      <w:pPr>
        <w:jc w:val="both"/>
        <w:rPr>
          <w:rFonts w:ascii="Arial" w:hAnsi="Arial" w:cs="Arial"/>
          <w:i/>
          <w:iCs/>
          <w:sz w:val="22"/>
          <w:szCs w:val="22"/>
          <w:lang w:val="es-PA"/>
        </w:rPr>
      </w:pPr>
    </w:p>
    <w:p w14:paraId="29B13DA6" w14:textId="107E4CF1" w:rsidR="00CD025C" w:rsidRPr="00316415" w:rsidRDefault="00A86A44" w:rsidP="00E23D2E">
      <w:pPr>
        <w:jc w:val="both"/>
        <w:rPr>
          <w:rFonts w:ascii="Arial" w:hAnsi="Arial" w:cs="Arial"/>
          <w:i/>
          <w:iCs/>
          <w:sz w:val="22"/>
          <w:szCs w:val="22"/>
          <w:lang w:val="es-PA"/>
        </w:rPr>
      </w:pPr>
      <w:r w:rsidRPr="00316415">
        <w:rPr>
          <w:rFonts w:ascii="Arial" w:hAnsi="Arial" w:cs="Arial"/>
          <w:i/>
          <w:iCs/>
          <w:sz w:val="22"/>
          <w:szCs w:val="22"/>
          <w:lang w:val="es-PA"/>
        </w:rPr>
        <w:t>De hecho, creemos que requerir, dentro de las dos opciones listadas, haber obtenido la licencia de ejecutivo principal otorgada por la Superintendencia del Mercado de Valores y poseer experiencia directa en el mercado de valores de al menos tres (3) años, automáticamente habilita a casi cualquier persona que posea dicha licencia como una persona capacitad para realizar dicha función sin importar el tamaño de la entidad regulada. Por otro lado, el requerir el haber obtenido alguna certificación en riesgo con reconocimiento internacional y poseer estudios universitarios exclusivamente en Gestión de Riesgos limita a un gran número de profesionales del sector que pueden formar parte hoy en día de entidades pequeñas que poseen licencia, no haciéndolo cónsono a la realidad del sector en la actualidad”.</w:t>
      </w:r>
    </w:p>
    <w:p w14:paraId="6A233851" w14:textId="77777777" w:rsidR="00CD025C" w:rsidRPr="00316415" w:rsidRDefault="00CD025C" w:rsidP="00E23D2E">
      <w:pPr>
        <w:jc w:val="both"/>
        <w:rPr>
          <w:rFonts w:ascii="Arial" w:hAnsi="Arial" w:cs="Arial"/>
          <w:b/>
          <w:bCs/>
          <w:sz w:val="22"/>
          <w:szCs w:val="22"/>
          <w:lang w:val="es-PA"/>
        </w:rPr>
      </w:pPr>
      <w:r w:rsidRPr="00316415">
        <w:rPr>
          <w:rFonts w:ascii="Arial" w:hAnsi="Arial" w:cs="Arial"/>
          <w:b/>
          <w:bCs/>
          <w:sz w:val="22"/>
          <w:szCs w:val="22"/>
          <w:lang w:val="es-PA"/>
        </w:rPr>
        <w:t>Artículo 14: Funciones del Órgano de Gestión de Riesgos.</w:t>
      </w:r>
    </w:p>
    <w:p w14:paraId="32E34714" w14:textId="162A10C6" w:rsidR="007E0CEF" w:rsidRPr="00316415" w:rsidRDefault="007E0CEF" w:rsidP="00E23D2E">
      <w:pPr>
        <w:jc w:val="both"/>
        <w:rPr>
          <w:rFonts w:ascii="Arial" w:hAnsi="Arial" w:cs="Arial"/>
          <w:sz w:val="22"/>
          <w:szCs w:val="22"/>
          <w:lang w:val="es-PA"/>
        </w:rPr>
      </w:pPr>
      <w:r w:rsidRPr="00316415">
        <w:rPr>
          <w:rFonts w:ascii="Arial" w:hAnsi="Arial" w:cs="Arial"/>
          <w:sz w:val="22"/>
          <w:szCs w:val="22"/>
          <w:lang w:val="es-PA"/>
        </w:rPr>
        <w:t xml:space="preserve">El proyecto de Acuerdo incluye entre las funciones del órgano de riesgos en el artículo 14 incluye el uso de pruebas de estrés (stress testing) y backtesting, herramientas estándares internacionales en gestión de riesgos cuantitativos. Sin embargo, su incorporación debe hacerse con claridad, proporcionalidad y alineación técnica. </w:t>
      </w:r>
    </w:p>
    <w:p w14:paraId="542A9E69" w14:textId="77777777" w:rsidR="007E0CEF" w:rsidRPr="00316415" w:rsidRDefault="007E0CEF" w:rsidP="00E23D2E">
      <w:pPr>
        <w:jc w:val="both"/>
        <w:rPr>
          <w:rFonts w:ascii="Arial" w:hAnsi="Arial" w:cs="Arial"/>
          <w:sz w:val="22"/>
          <w:szCs w:val="22"/>
          <w:lang w:val="es-PA"/>
        </w:rPr>
      </w:pPr>
      <w:r w:rsidRPr="00316415">
        <w:rPr>
          <w:rFonts w:ascii="Arial" w:hAnsi="Arial" w:cs="Arial"/>
          <w:sz w:val="22"/>
          <w:szCs w:val="22"/>
          <w:lang w:val="es-PA"/>
        </w:rPr>
        <w:lastRenderedPageBreak/>
        <w:t>1. El Acuerdo no define qué tipo de entidades deben aplicar estas herramientas ni en qué contexto. Ejemplo: ¿Aplican a casas de valores que no manejan portafolios propios?</w:t>
      </w:r>
    </w:p>
    <w:p w14:paraId="020BFB50" w14:textId="77777777" w:rsidR="007E0CEF" w:rsidRPr="00316415" w:rsidRDefault="007E0CEF" w:rsidP="00E23D2E">
      <w:pPr>
        <w:jc w:val="both"/>
        <w:rPr>
          <w:rFonts w:ascii="Arial" w:hAnsi="Arial" w:cs="Arial"/>
          <w:sz w:val="22"/>
          <w:szCs w:val="22"/>
          <w:lang w:val="es-PA"/>
        </w:rPr>
      </w:pPr>
      <w:r w:rsidRPr="00316415">
        <w:rPr>
          <w:rFonts w:ascii="Arial" w:hAnsi="Arial" w:cs="Arial"/>
          <w:sz w:val="22"/>
          <w:szCs w:val="22"/>
          <w:lang w:val="es-PA"/>
        </w:rPr>
        <w:t>2. Estas herramientas son intensivas en recursos técnicos y humanos. No todas las entidades tienen ni los datos ni la capacidad analítica para aplicarlas correctamente, caso en donde particularmente se debería incluir el principio de proporcionalidad, ya que el stress testing cuantitativo es más adecuado para entidades con exposición de mercado, manejo discrecional de fondos o administración directa de cuentas de margen; y las asesoras o entidades sin balance propio podrían usar stress testing cualitativo o narrativo (simulaciones de pérdida de clientes clave o fallas de tecnología).</w:t>
      </w:r>
    </w:p>
    <w:p w14:paraId="20B4E563" w14:textId="0EF7B60A" w:rsidR="007E0CEF" w:rsidRPr="00316415" w:rsidRDefault="001E20A5" w:rsidP="00E23D2E">
      <w:pPr>
        <w:jc w:val="both"/>
        <w:rPr>
          <w:rFonts w:ascii="Arial" w:hAnsi="Arial" w:cs="Arial"/>
          <w:sz w:val="22"/>
          <w:szCs w:val="22"/>
          <w:lang w:val="es-PA"/>
        </w:rPr>
      </w:pPr>
      <w:r w:rsidRPr="00316415">
        <w:rPr>
          <w:rFonts w:ascii="Arial" w:hAnsi="Arial" w:cs="Arial"/>
          <w:sz w:val="22"/>
          <w:szCs w:val="22"/>
          <w:lang w:val="es-PA"/>
        </w:rPr>
        <w:t xml:space="preserve">La observancia de </w:t>
      </w:r>
      <w:r w:rsidR="00E71AA4" w:rsidRPr="00316415">
        <w:rPr>
          <w:rFonts w:ascii="Arial" w:hAnsi="Arial" w:cs="Arial"/>
          <w:sz w:val="22"/>
          <w:szCs w:val="22"/>
          <w:lang w:val="es-PA"/>
        </w:rPr>
        <w:t>límites</w:t>
      </w:r>
      <w:r w:rsidRPr="00316415">
        <w:rPr>
          <w:rFonts w:ascii="Arial" w:hAnsi="Arial" w:cs="Arial"/>
          <w:sz w:val="22"/>
          <w:szCs w:val="22"/>
          <w:lang w:val="es-PA"/>
        </w:rPr>
        <w:t xml:space="preserve">, especificar si es para riesgo operativo se puede homologar la lista de causas como lo tiene la </w:t>
      </w:r>
      <w:r w:rsidR="00E71AA4" w:rsidRPr="00316415">
        <w:rPr>
          <w:rFonts w:ascii="Arial" w:hAnsi="Arial" w:cs="Arial"/>
          <w:sz w:val="22"/>
          <w:szCs w:val="22"/>
          <w:lang w:val="es-PA"/>
        </w:rPr>
        <w:t>Superintendencia</w:t>
      </w:r>
      <w:r w:rsidRPr="00316415">
        <w:rPr>
          <w:rFonts w:ascii="Arial" w:hAnsi="Arial" w:cs="Arial"/>
          <w:sz w:val="22"/>
          <w:szCs w:val="22"/>
          <w:lang w:val="es-PA"/>
        </w:rPr>
        <w:t xml:space="preserve"> de Bancos. tomar de referencia el anexo 1 del compilado 11-2018 de la SBP para tener en cuenta los tipos de riesgos y causas y el anexo 2, para tomar de referencia las líneas de negocio</w:t>
      </w:r>
      <w:r w:rsidR="00993EC6" w:rsidRPr="00316415">
        <w:rPr>
          <w:rFonts w:ascii="Arial" w:hAnsi="Arial" w:cs="Arial"/>
          <w:sz w:val="22"/>
          <w:szCs w:val="22"/>
          <w:lang w:val="es-PA"/>
        </w:rPr>
        <w:t>.</w:t>
      </w:r>
    </w:p>
    <w:p w14:paraId="7517A659" w14:textId="66D23D6A" w:rsidR="00993EC6" w:rsidRPr="00316415" w:rsidRDefault="00993EC6" w:rsidP="00E23D2E">
      <w:pPr>
        <w:jc w:val="both"/>
        <w:rPr>
          <w:rFonts w:ascii="Arial" w:hAnsi="Arial" w:cs="Arial"/>
          <w:sz w:val="22"/>
          <w:szCs w:val="22"/>
          <w:lang w:val="es-PA"/>
        </w:rPr>
      </w:pPr>
      <w:r w:rsidRPr="00316415">
        <w:rPr>
          <w:rFonts w:ascii="Arial" w:hAnsi="Arial" w:cs="Arial"/>
          <w:sz w:val="22"/>
          <w:szCs w:val="22"/>
          <w:lang w:val="es-PA"/>
        </w:rPr>
        <w:t xml:space="preserve">Ajustar </w:t>
      </w:r>
      <w:r w:rsidR="008B5A43">
        <w:rPr>
          <w:rFonts w:ascii="Arial" w:hAnsi="Arial" w:cs="Arial"/>
          <w:sz w:val="22"/>
          <w:szCs w:val="22"/>
          <w:lang w:val="es-PA"/>
        </w:rPr>
        <w:t xml:space="preserve">los </w:t>
      </w:r>
      <w:r w:rsidR="008B5A43" w:rsidRPr="00316415">
        <w:rPr>
          <w:rFonts w:ascii="Arial" w:hAnsi="Arial" w:cs="Arial"/>
          <w:sz w:val="22"/>
          <w:szCs w:val="22"/>
          <w:lang w:val="es-PA"/>
        </w:rPr>
        <w:t xml:space="preserve"> </w:t>
      </w:r>
      <w:r w:rsidRPr="00316415">
        <w:rPr>
          <w:rFonts w:ascii="Arial" w:hAnsi="Arial" w:cs="Arial"/>
          <w:sz w:val="22"/>
          <w:szCs w:val="22"/>
          <w:lang w:val="es-PA"/>
        </w:rPr>
        <w:t>términos</w:t>
      </w:r>
      <w:r w:rsidR="008B5A43">
        <w:rPr>
          <w:rFonts w:ascii="Arial" w:hAnsi="Arial" w:cs="Arial"/>
          <w:sz w:val="22"/>
          <w:szCs w:val="22"/>
          <w:lang w:val="es-PA"/>
        </w:rPr>
        <w:t xml:space="preserve"> para avisar a la SMV</w:t>
      </w:r>
      <w:r w:rsidRPr="00316415">
        <w:rPr>
          <w:rFonts w:ascii="Arial" w:hAnsi="Arial" w:cs="Arial"/>
          <w:sz w:val="22"/>
          <w:szCs w:val="22"/>
          <w:lang w:val="es-PA"/>
        </w:rPr>
        <w:t xml:space="preserve"> a los establecidos por el Art. 4 de acuerdo 4-</w:t>
      </w:r>
      <w:r w:rsidR="00E71AA4" w:rsidRPr="00316415">
        <w:rPr>
          <w:rFonts w:ascii="Arial" w:hAnsi="Arial" w:cs="Arial"/>
          <w:sz w:val="22"/>
          <w:szCs w:val="22"/>
          <w:lang w:val="es-PA"/>
        </w:rPr>
        <w:t>2011,</w:t>
      </w:r>
      <w:r w:rsidRPr="00316415">
        <w:rPr>
          <w:rFonts w:ascii="Arial" w:hAnsi="Arial" w:cs="Arial"/>
          <w:sz w:val="22"/>
          <w:szCs w:val="22"/>
          <w:lang w:val="es-PA"/>
        </w:rPr>
        <w:t xml:space="preserve"> son aviso inmediato y 5 días hábiles para presentar un plan de acción.</w:t>
      </w:r>
    </w:p>
    <w:p w14:paraId="7861B35D" w14:textId="77777777" w:rsidR="002624D7" w:rsidRPr="00316415" w:rsidRDefault="002624D7" w:rsidP="00E23D2E">
      <w:pPr>
        <w:framePr w:hSpace="180" w:wrap="around" w:vAnchor="text" w:hAnchor="text" w:y="1"/>
        <w:suppressOverlap/>
        <w:jc w:val="both"/>
        <w:rPr>
          <w:rFonts w:ascii="Arial" w:hAnsi="Arial" w:cs="Arial"/>
          <w:sz w:val="22"/>
          <w:szCs w:val="22"/>
          <w:lang w:val="es-PA"/>
        </w:rPr>
      </w:pPr>
    </w:p>
    <w:p w14:paraId="77F5CB77" w14:textId="77777777" w:rsidR="006C0D35" w:rsidRPr="00316415" w:rsidRDefault="006C0D35" w:rsidP="00E71AA4">
      <w:pPr>
        <w:jc w:val="both"/>
        <w:rPr>
          <w:rFonts w:ascii="Arial" w:hAnsi="Arial" w:cs="Arial"/>
          <w:sz w:val="22"/>
          <w:szCs w:val="22"/>
          <w:lang w:val="es-PA"/>
        </w:rPr>
      </w:pPr>
    </w:p>
    <w:p w14:paraId="1FD7DEF3" w14:textId="77777777" w:rsidR="006C0D35" w:rsidRPr="00316415" w:rsidRDefault="006C0D35" w:rsidP="00E71AA4">
      <w:pPr>
        <w:jc w:val="both"/>
        <w:rPr>
          <w:rFonts w:ascii="Arial" w:hAnsi="Arial" w:cs="Arial"/>
          <w:sz w:val="22"/>
          <w:szCs w:val="22"/>
          <w:lang w:val="es-PA"/>
        </w:rPr>
      </w:pPr>
    </w:p>
    <w:p w14:paraId="2775B811" w14:textId="630FB5C9" w:rsidR="00CD025C" w:rsidRPr="00316415" w:rsidRDefault="002624D7" w:rsidP="00E71AA4">
      <w:pPr>
        <w:jc w:val="both"/>
        <w:rPr>
          <w:rFonts w:ascii="Arial" w:hAnsi="Arial" w:cs="Arial"/>
          <w:sz w:val="22"/>
          <w:szCs w:val="22"/>
          <w:lang w:val="es-PA"/>
        </w:rPr>
      </w:pPr>
      <w:r w:rsidRPr="00316415">
        <w:rPr>
          <w:rFonts w:ascii="Arial" w:hAnsi="Arial" w:cs="Arial"/>
          <w:sz w:val="22"/>
          <w:szCs w:val="22"/>
          <w:lang w:val="es-PA"/>
        </w:rPr>
        <w:t>Sin embargo, también consideramos que imperativo introducir el principio de proporcionalidad de forma explícita, enfoque ampliamente aceptado por los reguladores financieros a nivel internacional, ya que busca adaptar la aplicación de normas según el tamaño, naturaleza, complejidad y perfil de riesgo de las entidades supervisadas, tomando en cuenta que en el sector financiero panameño  conviven grandes bancos o casas de valores complejas con entidades pequeñas o especializadas, y que las exigencias normativas no son “una talla única” (one-size-fits-all). Haciendo esto se evitará la sobrecarga innecesaria a PYMEs financieras o entidades especializadas, y mejorará la adhesión voluntaria y efectiva a la normativa.</w:t>
      </w:r>
    </w:p>
    <w:p w14:paraId="14FEF821" w14:textId="500E4C1B" w:rsidR="001F069D" w:rsidRPr="00316415" w:rsidRDefault="001F069D" w:rsidP="00E23D2E">
      <w:pPr>
        <w:pStyle w:val="pf0"/>
        <w:jc w:val="both"/>
        <w:rPr>
          <w:rFonts w:ascii="Arial" w:hAnsi="Arial" w:cs="Arial"/>
          <w:sz w:val="22"/>
          <w:szCs w:val="22"/>
          <w:lang w:val="es-PA"/>
        </w:rPr>
      </w:pPr>
      <w:r w:rsidRPr="00316415">
        <w:rPr>
          <w:rFonts w:ascii="Arial" w:hAnsi="Arial" w:cs="Arial"/>
          <w:b/>
          <w:bCs/>
          <w:sz w:val="22"/>
          <w:szCs w:val="22"/>
          <w:lang w:val="es-PA"/>
        </w:rPr>
        <w:t>Artículo 15: Aplicación por terceros de la gestión de riesgos</w:t>
      </w:r>
      <w:r w:rsidRPr="00316415">
        <w:rPr>
          <w:rFonts w:ascii="Arial" w:hAnsi="Arial" w:cs="Arial"/>
          <w:color w:val="424242"/>
          <w:sz w:val="22"/>
          <w:szCs w:val="22"/>
          <w:shd w:val="clear" w:color="auto" w:fill="FFFFFF"/>
          <w:lang w:val="es-PA"/>
        </w:rPr>
        <w:t xml:space="preserve"> La exigencia de que el proveedor sea local puede ser innecesaria y contraproducente, ya que el artículo se enfoca en garantizar la independencia, supervisión efectiva y responsabilidad de la entidad con licencia, aspectos que pueden cumplirse mediante contratos bien estructurados sin importar la ubicación del proveedor. La tecnología actual permite acceso remoto seguro, participación virtual en comités y auditorías a distancia, lo que asegura el cumplimiento regulatorio. Además, limitar la contratación a proveedores locales puede reducir la calidad del servicio, restringir el acceso a expertos internacionales y contradecir el principio de proporcionalidad, especialmente para entidades más complejas.</w:t>
      </w:r>
      <w:r w:rsidRPr="00316415">
        <w:rPr>
          <w:rFonts w:ascii="Arial" w:hAnsi="Arial" w:cs="Arial"/>
          <w:sz w:val="22"/>
          <w:szCs w:val="22"/>
          <w:lang w:val="es-PA"/>
        </w:rPr>
        <w:t xml:space="preserve"> </w:t>
      </w:r>
    </w:p>
    <w:p w14:paraId="10E584F5" w14:textId="11563FE6" w:rsidR="00E71AA4" w:rsidRPr="00316415" w:rsidRDefault="00E71AA4" w:rsidP="00E71AA4">
      <w:pPr>
        <w:pStyle w:val="pf0"/>
        <w:jc w:val="both"/>
        <w:rPr>
          <w:rFonts w:ascii="Arial" w:hAnsi="Arial" w:cs="Arial"/>
          <w:b/>
          <w:bCs/>
          <w:sz w:val="22"/>
          <w:szCs w:val="22"/>
          <w:lang w:val="es-PA"/>
        </w:rPr>
      </w:pPr>
      <w:r w:rsidRPr="00316415">
        <w:rPr>
          <w:rFonts w:ascii="Arial" w:hAnsi="Arial" w:cs="Arial"/>
          <w:b/>
          <w:bCs/>
          <w:sz w:val="22"/>
          <w:szCs w:val="22"/>
          <w:lang w:val="es-PA"/>
        </w:rPr>
        <w:t>Artículo 16 – Aplicación por terceros:</w:t>
      </w:r>
    </w:p>
    <w:p w14:paraId="041E4A5E" w14:textId="2D80ED88" w:rsidR="00E71AA4" w:rsidRPr="00316415" w:rsidRDefault="00E71AA4" w:rsidP="00E71AA4">
      <w:pPr>
        <w:pStyle w:val="pf0"/>
        <w:jc w:val="both"/>
        <w:rPr>
          <w:rFonts w:ascii="Arial" w:hAnsi="Arial" w:cs="Arial"/>
          <w:sz w:val="22"/>
          <w:szCs w:val="22"/>
          <w:lang w:val="es-PA"/>
        </w:rPr>
      </w:pPr>
      <w:r w:rsidRPr="00316415">
        <w:rPr>
          <w:rFonts w:ascii="Arial" w:hAnsi="Arial" w:cs="Arial"/>
          <w:sz w:val="22"/>
          <w:szCs w:val="22"/>
          <w:lang w:val="es-PA"/>
        </w:rPr>
        <w:t>A pesar de ser muy acertado el permitir la tercerización de los servicios de riesgos, es necesario que el contrato incluya una matriz de SLA (Acuerdo de Nivel de Servicios) e incluir los criterios mínimos de independencia para poder que la entidad definida pueda realizar dichas funciones.</w:t>
      </w:r>
    </w:p>
    <w:p w14:paraId="1917B7D7" w14:textId="77777777" w:rsidR="00E71AA4" w:rsidRPr="00316415" w:rsidRDefault="00E71AA4" w:rsidP="00E71AA4">
      <w:pPr>
        <w:pStyle w:val="pf0"/>
        <w:jc w:val="both"/>
        <w:rPr>
          <w:rFonts w:ascii="Arial" w:hAnsi="Arial" w:cs="Arial"/>
          <w:sz w:val="22"/>
          <w:szCs w:val="22"/>
          <w:lang w:val="es-PA"/>
        </w:rPr>
      </w:pPr>
      <w:r w:rsidRPr="00316415">
        <w:rPr>
          <w:rFonts w:ascii="Arial" w:hAnsi="Arial" w:cs="Arial"/>
          <w:sz w:val="22"/>
          <w:szCs w:val="22"/>
          <w:lang w:val="es-PA"/>
        </w:rPr>
        <w:lastRenderedPageBreak/>
        <w:t>“Este documento o contrato formal deberá definir los niveles de servicio que un proveedor se compromete a ofrecer, y las métricas para medir la calidad de ese servicio. Además, debería incluir información como el tiempo de actividad, el tiempo de respuesta, el tiempo de resolución, y las acciones a tomar en caso de incumplimiento”. Recomendación: Incluir anexo en el Acuerdo o requisitos mínimos en una circular.</w:t>
      </w:r>
    </w:p>
    <w:p w14:paraId="3DF475B8" w14:textId="77777777" w:rsidR="00E71AA4" w:rsidRPr="00316415" w:rsidRDefault="00E71AA4" w:rsidP="00E71AA4">
      <w:pPr>
        <w:pStyle w:val="pf0"/>
        <w:jc w:val="both"/>
        <w:rPr>
          <w:rFonts w:ascii="Arial" w:hAnsi="Arial" w:cs="Arial"/>
          <w:sz w:val="22"/>
          <w:szCs w:val="22"/>
          <w:lang w:val="es-PA"/>
        </w:rPr>
      </w:pPr>
    </w:p>
    <w:p w14:paraId="1D215479" w14:textId="77777777" w:rsidR="006C0D35" w:rsidRPr="00316415" w:rsidRDefault="006C0D35" w:rsidP="00E71AA4">
      <w:pPr>
        <w:pStyle w:val="pf0"/>
        <w:jc w:val="both"/>
        <w:rPr>
          <w:rFonts w:ascii="Arial" w:hAnsi="Arial" w:cs="Arial"/>
          <w:sz w:val="22"/>
          <w:szCs w:val="22"/>
          <w:lang w:val="es-PA"/>
        </w:rPr>
      </w:pPr>
    </w:p>
    <w:p w14:paraId="2FD2E0DA" w14:textId="77777777" w:rsidR="006C0D35" w:rsidRPr="00316415" w:rsidRDefault="006C0D35" w:rsidP="00E71AA4">
      <w:pPr>
        <w:pStyle w:val="pf0"/>
        <w:jc w:val="both"/>
        <w:rPr>
          <w:rFonts w:ascii="Arial" w:hAnsi="Arial" w:cs="Arial"/>
          <w:sz w:val="22"/>
          <w:szCs w:val="22"/>
          <w:lang w:val="es-PA"/>
        </w:rPr>
      </w:pPr>
    </w:p>
    <w:p w14:paraId="602FA6C6" w14:textId="3C38DA2E" w:rsidR="00E71AA4" w:rsidRPr="00316415" w:rsidRDefault="00E71AA4" w:rsidP="00E71AA4">
      <w:pPr>
        <w:pStyle w:val="pf0"/>
        <w:jc w:val="both"/>
        <w:rPr>
          <w:rFonts w:ascii="Arial" w:hAnsi="Arial" w:cs="Arial"/>
          <w:b/>
          <w:bCs/>
          <w:sz w:val="22"/>
          <w:szCs w:val="22"/>
          <w:lang w:val="es-PA"/>
        </w:rPr>
      </w:pPr>
      <w:r w:rsidRPr="00316415">
        <w:rPr>
          <w:rFonts w:ascii="Arial" w:hAnsi="Arial" w:cs="Arial"/>
          <w:b/>
          <w:bCs/>
          <w:sz w:val="22"/>
          <w:szCs w:val="22"/>
          <w:lang w:val="es-PA"/>
        </w:rPr>
        <w:t xml:space="preserve">Comentarios Finales: </w:t>
      </w:r>
    </w:p>
    <w:p w14:paraId="5A2BF1E1" w14:textId="14D5483C" w:rsidR="00E71AA4" w:rsidRPr="00316415" w:rsidRDefault="00E71AA4" w:rsidP="00E71AA4">
      <w:pPr>
        <w:pStyle w:val="pf0"/>
        <w:jc w:val="both"/>
        <w:rPr>
          <w:rFonts w:ascii="Arial" w:hAnsi="Arial" w:cs="Arial"/>
          <w:sz w:val="22"/>
          <w:szCs w:val="22"/>
          <w:lang w:val="es-PA"/>
        </w:rPr>
      </w:pPr>
      <w:r w:rsidRPr="00316415">
        <w:rPr>
          <w:rFonts w:ascii="Arial" w:hAnsi="Arial" w:cs="Arial"/>
          <w:sz w:val="22"/>
          <w:szCs w:val="22"/>
          <w:lang w:val="es-PA"/>
        </w:rPr>
        <w:t>El proyecto de Acuerdo representa un avance muy positivo y sólido hacia una supervisión más moderna, basada en riesgos, coherente con estándares internacionales. Sin embargo, sería recomendable introducir el principio de proporcionalidad explícito, evaluación de controles, y permitir enfoques más flexibles en entidades pequeñas.</w:t>
      </w:r>
    </w:p>
    <w:p w14:paraId="71D2BBFE" w14:textId="0DE676F1" w:rsidR="00E71AA4" w:rsidRPr="00316415" w:rsidRDefault="00E71AA4" w:rsidP="00E71AA4">
      <w:pPr>
        <w:pStyle w:val="pf0"/>
        <w:jc w:val="both"/>
        <w:rPr>
          <w:rFonts w:ascii="Arial" w:hAnsi="Arial" w:cs="Arial"/>
          <w:sz w:val="22"/>
          <w:szCs w:val="22"/>
          <w:lang w:val="es-PA"/>
        </w:rPr>
      </w:pPr>
      <w:r w:rsidRPr="00316415">
        <w:rPr>
          <w:rFonts w:ascii="Arial" w:hAnsi="Arial" w:cs="Arial"/>
          <w:sz w:val="22"/>
          <w:szCs w:val="22"/>
          <w:lang w:val="es-PA"/>
        </w:rPr>
        <w:t>Por otro lado, consideramos que debe adicionarse un artículo sobre gestión de incidentes y eventos de pérdida, tomando en cuenta que el principal riesgo al que están expuestas todas las entidades con licencia (con la excepción de las casas de valores en algunos casos) es al riesgo operativo. Por esto, debería incluirse como mínimo un repositorio interno de eventos junto con un análisis de causa raíz para cada caso.</w:t>
      </w:r>
    </w:p>
    <w:p w14:paraId="554E3A72" w14:textId="0925EB4A" w:rsidR="00E71AA4" w:rsidRPr="00316415" w:rsidRDefault="00E71AA4" w:rsidP="00E23D2E">
      <w:pPr>
        <w:pStyle w:val="pf0"/>
        <w:jc w:val="both"/>
        <w:rPr>
          <w:rFonts w:ascii="Arial" w:hAnsi="Arial" w:cs="Arial"/>
          <w:sz w:val="22"/>
          <w:szCs w:val="22"/>
          <w:lang w:val="es-PA"/>
        </w:rPr>
      </w:pPr>
      <w:r w:rsidRPr="00316415">
        <w:rPr>
          <w:rFonts w:ascii="Arial" w:hAnsi="Arial" w:cs="Arial"/>
          <w:sz w:val="22"/>
          <w:szCs w:val="22"/>
          <w:lang w:val="es-PA"/>
        </w:rPr>
        <w:t>Finalmente, tampoco se exige explícitamente una “Matriz de Riesgos Institucional” integrada al modelo de negocio, pese a que se menciona el mapa de riesgos. Una herramienta básica y necesaria para llevar un seguimiento y una bitácora ordenada de los riesgos identificados y los respectivos planes de acción para tratarlos, mitigarlos o controlarlos.</w:t>
      </w:r>
    </w:p>
    <w:p w14:paraId="17453D80" w14:textId="77777777" w:rsidR="0079594E" w:rsidRPr="00316415" w:rsidRDefault="0079594E" w:rsidP="009801AA">
      <w:pPr>
        <w:jc w:val="center"/>
        <w:rPr>
          <w:rFonts w:ascii="Arial" w:hAnsi="Arial" w:cs="Arial"/>
          <w:b/>
          <w:bCs/>
          <w:sz w:val="22"/>
          <w:szCs w:val="22"/>
          <w:lang w:val="es-PA"/>
        </w:rPr>
      </w:pPr>
      <w:r w:rsidRPr="00316415">
        <w:rPr>
          <w:rFonts w:ascii="Arial" w:hAnsi="Arial" w:cs="Arial"/>
          <w:b/>
          <w:bCs/>
          <w:sz w:val="22"/>
          <w:szCs w:val="22"/>
          <w:lang w:val="es-PA"/>
        </w:rPr>
        <w:t>Capitulo V</w:t>
      </w:r>
    </w:p>
    <w:p w14:paraId="56550F52" w14:textId="0EC032CE" w:rsidR="0079594E" w:rsidRPr="00316415" w:rsidRDefault="0079594E" w:rsidP="009801AA">
      <w:pPr>
        <w:jc w:val="center"/>
        <w:rPr>
          <w:rFonts w:ascii="Arial" w:hAnsi="Arial" w:cs="Arial"/>
          <w:b/>
          <w:bCs/>
          <w:sz w:val="22"/>
          <w:szCs w:val="22"/>
          <w:lang w:val="es-PA"/>
        </w:rPr>
      </w:pPr>
      <w:r w:rsidRPr="00316415">
        <w:rPr>
          <w:rFonts w:ascii="Arial" w:hAnsi="Arial" w:cs="Arial"/>
          <w:b/>
          <w:bCs/>
          <w:sz w:val="22"/>
          <w:szCs w:val="22"/>
          <w:lang w:val="es-PA"/>
        </w:rPr>
        <w:t>Función del Órgano de control en la Gestión Integral de Riesgos</w:t>
      </w:r>
    </w:p>
    <w:p w14:paraId="1839A2FE" w14:textId="77777777" w:rsidR="0079594E" w:rsidRPr="00316415" w:rsidRDefault="0079594E" w:rsidP="009801AA">
      <w:pPr>
        <w:jc w:val="center"/>
        <w:rPr>
          <w:rFonts w:ascii="Arial" w:hAnsi="Arial" w:cs="Arial"/>
          <w:b/>
          <w:bCs/>
          <w:sz w:val="22"/>
          <w:szCs w:val="22"/>
          <w:lang w:val="es-PA"/>
        </w:rPr>
      </w:pPr>
    </w:p>
    <w:p w14:paraId="762EBAD2" w14:textId="77777777" w:rsidR="0079594E" w:rsidRPr="00316415" w:rsidRDefault="0079594E" w:rsidP="00E23D2E">
      <w:pPr>
        <w:jc w:val="both"/>
        <w:rPr>
          <w:rFonts w:ascii="Arial" w:hAnsi="Arial" w:cs="Arial"/>
          <w:b/>
          <w:bCs/>
          <w:sz w:val="22"/>
          <w:szCs w:val="22"/>
          <w:lang w:val="es-PA"/>
        </w:rPr>
      </w:pPr>
      <w:r w:rsidRPr="00316415">
        <w:rPr>
          <w:rFonts w:ascii="Arial" w:hAnsi="Arial" w:cs="Arial"/>
          <w:b/>
          <w:bCs/>
          <w:sz w:val="22"/>
          <w:szCs w:val="22"/>
          <w:lang w:val="es-PA"/>
        </w:rPr>
        <w:t>Artículo 17: Función de la auditoría interna para la gestión integral de riesgos</w:t>
      </w:r>
    </w:p>
    <w:p w14:paraId="221C9672" w14:textId="5D75894A" w:rsidR="00334987" w:rsidRPr="00316415" w:rsidRDefault="00F759EB" w:rsidP="00E23D2E">
      <w:pPr>
        <w:jc w:val="both"/>
        <w:rPr>
          <w:rFonts w:ascii="Arial" w:hAnsi="Arial" w:cs="Arial"/>
          <w:sz w:val="22"/>
          <w:szCs w:val="22"/>
          <w:lang w:val="es-PA"/>
        </w:rPr>
      </w:pPr>
      <w:r w:rsidRPr="00316415">
        <w:rPr>
          <w:rFonts w:ascii="Arial" w:hAnsi="Arial" w:cs="Arial"/>
          <w:sz w:val="22"/>
          <w:szCs w:val="22"/>
          <w:lang w:val="es-PA"/>
        </w:rPr>
        <w:t xml:space="preserve">Se recomienda no incluir en este acuerdo las funciones de </w:t>
      </w:r>
      <w:r w:rsidR="00D67E20" w:rsidRPr="00316415">
        <w:rPr>
          <w:rFonts w:ascii="Arial" w:hAnsi="Arial" w:cs="Arial"/>
          <w:sz w:val="22"/>
          <w:szCs w:val="22"/>
          <w:lang w:val="es-PA"/>
        </w:rPr>
        <w:t>auditoría</w:t>
      </w:r>
      <w:r w:rsidRPr="00316415">
        <w:rPr>
          <w:rFonts w:ascii="Arial" w:hAnsi="Arial" w:cs="Arial"/>
          <w:sz w:val="22"/>
          <w:szCs w:val="22"/>
          <w:lang w:val="es-PA"/>
        </w:rPr>
        <w:t xml:space="preserve"> interna y que sean cubierto por el Acuerdo 6-2018 como es actualmente para evitar conflictos entre acuerdos</w:t>
      </w:r>
    </w:p>
    <w:p w14:paraId="1AF9EF0C" w14:textId="67C2F452" w:rsidR="007D544F" w:rsidRPr="00964D3C" w:rsidRDefault="00334987" w:rsidP="00E23D2E">
      <w:pPr>
        <w:pStyle w:val="pf0"/>
        <w:jc w:val="both"/>
        <w:rPr>
          <w:rFonts w:ascii="Arial" w:hAnsi="Arial" w:cs="Arial"/>
          <w:sz w:val="22"/>
          <w:szCs w:val="22"/>
          <w:lang w:val="es-PA"/>
        </w:rPr>
      </w:pPr>
      <w:r w:rsidRPr="00964D3C">
        <w:rPr>
          <w:rFonts w:ascii="Arial" w:eastAsiaTheme="minorHAnsi" w:hAnsi="Arial" w:cs="Arial"/>
          <w:b/>
          <w:bCs/>
          <w:kern w:val="2"/>
          <w:sz w:val="22"/>
          <w:szCs w:val="22"/>
          <w:lang w:val="es-PA"/>
          <w14:ligatures w14:val="standardContextual"/>
        </w:rPr>
        <w:t>Artículo 18. Perfil de la persona responsable de la auditoría interna</w:t>
      </w:r>
      <w:r w:rsidR="007D544F" w:rsidRPr="00316415">
        <w:rPr>
          <w:rFonts w:ascii="Arial" w:hAnsi="Arial" w:cs="Arial"/>
          <w:i/>
          <w:iCs/>
          <w:sz w:val="22"/>
          <w:szCs w:val="22"/>
          <w:lang w:val="es-PA"/>
        </w:rPr>
        <w:t xml:space="preserve">: </w:t>
      </w:r>
      <w:r w:rsidR="007D544F" w:rsidRPr="00964D3C">
        <w:rPr>
          <w:rFonts w:ascii="Arial" w:hAnsi="Arial" w:cs="Arial"/>
          <w:color w:val="424242"/>
          <w:sz w:val="22"/>
          <w:szCs w:val="22"/>
          <w:shd w:val="clear" w:color="auto" w:fill="FFFFFF"/>
          <w:lang w:val="es-PA"/>
        </w:rPr>
        <w:t>Limitaciones o consideraciones</w:t>
      </w:r>
      <w:r w:rsidR="008B5A43">
        <w:rPr>
          <w:rFonts w:ascii="Arial" w:hAnsi="Arial" w:cs="Arial"/>
          <w:color w:val="424242"/>
          <w:sz w:val="22"/>
          <w:szCs w:val="22"/>
          <w:shd w:val="clear" w:color="auto" w:fill="FFFFFF"/>
          <w:lang w:val="es-PA"/>
        </w:rPr>
        <w:t>:</w:t>
      </w:r>
    </w:p>
    <w:p w14:paraId="015470BC" w14:textId="77777777" w:rsidR="007D544F" w:rsidRPr="00316415" w:rsidRDefault="007D544F" w:rsidP="00E23D2E">
      <w:pPr>
        <w:numPr>
          <w:ilvl w:val="0"/>
          <w:numId w:val="3"/>
        </w:numPr>
        <w:spacing w:before="100" w:beforeAutospacing="1" w:after="100" w:afterAutospacing="1" w:line="240" w:lineRule="auto"/>
        <w:jc w:val="both"/>
        <w:rPr>
          <w:rFonts w:ascii="Arial" w:eastAsia="Times New Roman" w:hAnsi="Arial" w:cs="Arial"/>
          <w:kern w:val="0"/>
          <w:sz w:val="22"/>
          <w:szCs w:val="22"/>
          <w:lang w:val="es-PA"/>
          <w14:ligatures w14:val="none"/>
        </w:rPr>
      </w:pPr>
      <w:r w:rsidRPr="00316415">
        <w:rPr>
          <w:rFonts w:ascii="Arial" w:eastAsia="Times New Roman" w:hAnsi="Arial" w:cs="Arial"/>
          <w:color w:val="424242"/>
          <w:kern w:val="0"/>
          <w:sz w:val="22"/>
          <w:szCs w:val="22"/>
          <w:shd w:val="clear" w:color="auto" w:fill="FFFFFF"/>
          <w:lang w:val="es-PA"/>
          <w14:ligatures w14:val="none"/>
        </w:rPr>
        <w:t>Auditoría interna ≠ auditoría financiera: La auditoría interna abarca aspectos operativos, tecnológicos, estratégicos y de cumplimiento, no solo financieros. Un CPA puede no tener formación en gestión de riesgos, ciberseguridad o auditoría de procesos.</w:t>
      </w:r>
    </w:p>
    <w:p w14:paraId="1F7599D1" w14:textId="77777777" w:rsidR="007D544F" w:rsidRPr="00316415" w:rsidRDefault="007D544F" w:rsidP="00E23D2E">
      <w:pPr>
        <w:numPr>
          <w:ilvl w:val="0"/>
          <w:numId w:val="3"/>
        </w:numPr>
        <w:spacing w:before="100" w:beforeAutospacing="1" w:after="100" w:afterAutospacing="1" w:line="240" w:lineRule="auto"/>
        <w:jc w:val="both"/>
        <w:rPr>
          <w:rFonts w:ascii="Arial" w:eastAsia="Times New Roman" w:hAnsi="Arial" w:cs="Arial"/>
          <w:kern w:val="0"/>
          <w:sz w:val="22"/>
          <w:szCs w:val="22"/>
          <w:lang w:val="es-PA"/>
          <w14:ligatures w14:val="none"/>
        </w:rPr>
      </w:pPr>
      <w:r w:rsidRPr="00316415">
        <w:rPr>
          <w:rFonts w:ascii="Arial" w:eastAsia="Times New Roman" w:hAnsi="Arial" w:cs="Arial"/>
          <w:color w:val="424242"/>
          <w:kern w:val="0"/>
          <w:sz w:val="22"/>
          <w:szCs w:val="22"/>
          <w:shd w:val="clear" w:color="auto" w:fill="FFFFFF"/>
          <w:lang w:val="es-PA"/>
          <w14:ligatures w14:val="none"/>
        </w:rPr>
        <w:lastRenderedPageBreak/>
        <w:t>Perfil multidisciplinario recomendado: Las mejores prácticas (como las del IIA) sugieren que el responsable de auditoría interna tenga una visión integral del negocio, con experiencia en control interno, gestión de riesgos y gobierno corporativo, más allá de la contabilidad.</w:t>
      </w:r>
    </w:p>
    <w:p w14:paraId="7D9A9F45" w14:textId="77777777" w:rsidR="007D544F" w:rsidRPr="00316415" w:rsidRDefault="007D544F" w:rsidP="00E23D2E">
      <w:pPr>
        <w:numPr>
          <w:ilvl w:val="0"/>
          <w:numId w:val="3"/>
        </w:numPr>
        <w:spacing w:before="100" w:beforeAutospacing="1" w:after="100" w:afterAutospacing="1" w:line="240" w:lineRule="auto"/>
        <w:jc w:val="both"/>
        <w:rPr>
          <w:rFonts w:ascii="Arial" w:eastAsia="Times New Roman" w:hAnsi="Arial" w:cs="Arial"/>
          <w:kern w:val="0"/>
          <w:sz w:val="22"/>
          <w:szCs w:val="22"/>
          <w:lang w:val="es-PA"/>
          <w14:ligatures w14:val="none"/>
        </w:rPr>
      </w:pPr>
      <w:r w:rsidRPr="00316415">
        <w:rPr>
          <w:rFonts w:ascii="Arial" w:eastAsia="Times New Roman" w:hAnsi="Arial" w:cs="Arial"/>
          <w:color w:val="424242"/>
          <w:kern w:val="0"/>
          <w:sz w:val="22"/>
          <w:szCs w:val="22"/>
          <w:shd w:val="clear" w:color="auto" w:fill="FFFFFF"/>
          <w:lang w:val="es-PA"/>
          <w14:ligatures w14:val="none"/>
        </w:rPr>
        <w:t>Flexibilidad organizacional: Exigir que sea un CPA puede limitar la capacidad de la entidad para seleccionar al candidato más adecuado según su modelo de negocio y complejidad.</w:t>
      </w:r>
    </w:p>
    <w:p w14:paraId="41F090C8" w14:textId="08FDD9E6" w:rsidR="00334987" w:rsidRPr="00316415" w:rsidRDefault="00D67E20" w:rsidP="00E23D2E">
      <w:pPr>
        <w:spacing w:before="100" w:beforeAutospacing="1" w:after="100" w:afterAutospacing="1" w:line="240" w:lineRule="auto"/>
        <w:jc w:val="both"/>
        <w:rPr>
          <w:rFonts w:ascii="Arial" w:eastAsia="Times New Roman" w:hAnsi="Arial" w:cs="Arial"/>
          <w:kern w:val="0"/>
          <w:sz w:val="22"/>
          <w:szCs w:val="22"/>
          <w:lang w:val="es-PA"/>
          <w14:ligatures w14:val="none"/>
        </w:rPr>
      </w:pPr>
      <w:r w:rsidRPr="00316415">
        <w:rPr>
          <w:rFonts w:ascii="Arial" w:eastAsia="Times New Roman" w:hAnsi="Arial" w:cs="Arial"/>
          <w:color w:val="424242"/>
          <w:kern w:val="0"/>
          <w:sz w:val="22"/>
          <w:szCs w:val="22"/>
          <w:shd w:val="clear" w:color="auto" w:fill="FFFFFF"/>
          <w:lang w:val="es-PA"/>
          <w14:ligatures w14:val="none"/>
        </w:rPr>
        <w:t>Recomendamos eliminar</w:t>
      </w:r>
      <w:r w:rsidR="007D544F" w:rsidRPr="00316415">
        <w:rPr>
          <w:rFonts w:ascii="Arial" w:eastAsia="Times New Roman" w:hAnsi="Arial" w:cs="Arial"/>
          <w:color w:val="424242"/>
          <w:kern w:val="0"/>
          <w:sz w:val="22"/>
          <w:szCs w:val="22"/>
          <w:shd w:val="clear" w:color="auto" w:fill="FFFFFF"/>
          <w:lang w:val="es-PA"/>
          <w14:ligatures w14:val="none"/>
        </w:rPr>
        <w:t xml:space="preserve"> esta restricción</w:t>
      </w:r>
    </w:p>
    <w:p w14:paraId="2613A7EA" w14:textId="77777777" w:rsidR="00334987" w:rsidRPr="00316415" w:rsidRDefault="00334987" w:rsidP="00E23D2E">
      <w:pPr>
        <w:jc w:val="both"/>
        <w:rPr>
          <w:rFonts w:ascii="Arial" w:hAnsi="Arial" w:cs="Arial"/>
          <w:b/>
          <w:bCs/>
          <w:sz w:val="22"/>
          <w:szCs w:val="22"/>
          <w:lang w:val="es-PA"/>
        </w:rPr>
      </w:pPr>
    </w:p>
    <w:p w14:paraId="713E3361" w14:textId="77777777" w:rsidR="00E12EB7" w:rsidRPr="00316415" w:rsidRDefault="00E12EB7" w:rsidP="00CE22E5">
      <w:pPr>
        <w:jc w:val="center"/>
        <w:rPr>
          <w:rFonts w:ascii="Arial" w:hAnsi="Arial" w:cs="Arial"/>
          <w:b/>
          <w:bCs/>
          <w:sz w:val="22"/>
          <w:szCs w:val="22"/>
          <w:lang w:val="es-PA"/>
        </w:rPr>
      </w:pPr>
      <w:r w:rsidRPr="00316415">
        <w:rPr>
          <w:rFonts w:ascii="Arial" w:hAnsi="Arial" w:cs="Arial"/>
          <w:b/>
          <w:bCs/>
          <w:sz w:val="22"/>
          <w:szCs w:val="22"/>
          <w:lang w:val="es-PA"/>
        </w:rPr>
        <w:t>Capitulo VI</w:t>
      </w:r>
    </w:p>
    <w:p w14:paraId="7A46160F" w14:textId="77777777" w:rsidR="00E12EB7" w:rsidRPr="00316415" w:rsidRDefault="00E12EB7" w:rsidP="00CE22E5">
      <w:pPr>
        <w:jc w:val="center"/>
        <w:rPr>
          <w:rFonts w:ascii="Arial" w:hAnsi="Arial" w:cs="Arial"/>
          <w:b/>
          <w:bCs/>
          <w:sz w:val="22"/>
          <w:szCs w:val="22"/>
          <w:lang w:val="es-PA"/>
        </w:rPr>
      </w:pPr>
      <w:r w:rsidRPr="00316415">
        <w:rPr>
          <w:rFonts w:ascii="Arial" w:hAnsi="Arial" w:cs="Arial"/>
          <w:b/>
          <w:bCs/>
          <w:sz w:val="22"/>
          <w:szCs w:val="22"/>
          <w:lang w:val="es-PA"/>
        </w:rPr>
        <w:t>Gestión por Tipo de Riesgos.</w:t>
      </w:r>
    </w:p>
    <w:p w14:paraId="6DC9272C" w14:textId="77777777" w:rsidR="00E12EB7" w:rsidRPr="00316415" w:rsidRDefault="00E12EB7" w:rsidP="00E23D2E">
      <w:pPr>
        <w:jc w:val="both"/>
        <w:rPr>
          <w:rFonts w:ascii="Arial" w:hAnsi="Arial" w:cs="Arial"/>
          <w:sz w:val="22"/>
          <w:szCs w:val="22"/>
          <w:lang w:val="es-PA"/>
        </w:rPr>
      </w:pPr>
      <w:r w:rsidRPr="00316415">
        <w:rPr>
          <w:rFonts w:ascii="Arial" w:hAnsi="Arial" w:cs="Arial"/>
          <w:sz w:val="22"/>
          <w:szCs w:val="22"/>
          <w:lang w:val="es-PA"/>
        </w:rPr>
        <w:t xml:space="preserve"> </w:t>
      </w:r>
    </w:p>
    <w:p w14:paraId="5FBFCF8F" w14:textId="77777777" w:rsidR="000E4009" w:rsidRPr="00316415" w:rsidRDefault="00E12EB7" w:rsidP="00E23D2E">
      <w:pPr>
        <w:pStyle w:val="pf0"/>
        <w:jc w:val="both"/>
        <w:rPr>
          <w:rFonts w:ascii="Arial" w:hAnsi="Arial" w:cs="Arial"/>
          <w:sz w:val="22"/>
          <w:szCs w:val="22"/>
          <w:lang w:val="es-PA"/>
        </w:rPr>
      </w:pPr>
      <w:r w:rsidRPr="00316415">
        <w:rPr>
          <w:rFonts w:ascii="Arial" w:hAnsi="Arial" w:cs="Arial"/>
          <w:b/>
          <w:bCs/>
          <w:sz w:val="22"/>
          <w:szCs w:val="22"/>
          <w:lang w:val="es-PA"/>
        </w:rPr>
        <w:t>Artículo 19: Obligación de gestionar los riesgos</w:t>
      </w:r>
      <w:r w:rsidRPr="00316415">
        <w:rPr>
          <w:rFonts w:ascii="Arial" w:hAnsi="Arial" w:cs="Arial"/>
          <w:sz w:val="22"/>
          <w:szCs w:val="22"/>
          <w:lang w:val="es-PA"/>
        </w:rPr>
        <w:t>.</w:t>
      </w:r>
      <w:r w:rsidR="000E4009" w:rsidRPr="00316415">
        <w:rPr>
          <w:rFonts w:ascii="Arial" w:hAnsi="Arial" w:cs="Arial"/>
          <w:sz w:val="22"/>
          <w:szCs w:val="22"/>
          <w:lang w:val="es-PA"/>
        </w:rPr>
        <w:t xml:space="preserve"> </w:t>
      </w:r>
      <w:r w:rsidR="000E4009" w:rsidRPr="00316415">
        <w:rPr>
          <w:rStyle w:val="cf01"/>
          <w:rFonts w:ascii="Arial" w:eastAsiaTheme="majorEastAsia" w:hAnsi="Arial" w:cs="Arial"/>
          <w:sz w:val="22"/>
          <w:szCs w:val="22"/>
          <w:lang w:val="es-PA"/>
        </w:rPr>
        <w:t>Establecer la definición de fondos que administren o activos de terceros administrados</w:t>
      </w:r>
    </w:p>
    <w:p w14:paraId="21D7DCCC" w14:textId="55706EEC" w:rsidR="00E12EB7" w:rsidRPr="00316415" w:rsidRDefault="008752EB" w:rsidP="00E23D2E">
      <w:pPr>
        <w:jc w:val="both"/>
        <w:rPr>
          <w:rFonts w:ascii="Arial" w:hAnsi="Arial" w:cs="Arial"/>
          <w:sz w:val="22"/>
          <w:szCs w:val="22"/>
          <w:lang w:val="es-PA"/>
        </w:rPr>
      </w:pPr>
      <w:r w:rsidRPr="00316415">
        <w:rPr>
          <w:rFonts w:ascii="Arial" w:hAnsi="Arial" w:cs="Arial"/>
          <w:sz w:val="22"/>
          <w:szCs w:val="22"/>
          <w:lang w:val="es-PA"/>
        </w:rPr>
        <w:t xml:space="preserve">Para mantener el espíritu de la norma y la definición de gestión de riesgos </w:t>
      </w:r>
      <w:r w:rsidR="00D67E20" w:rsidRPr="00316415">
        <w:rPr>
          <w:rFonts w:ascii="Arial" w:hAnsi="Arial" w:cs="Arial"/>
          <w:sz w:val="22"/>
          <w:szCs w:val="22"/>
          <w:lang w:val="es-PA"/>
        </w:rPr>
        <w:t>de acuerdo con</w:t>
      </w:r>
      <w:r w:rsidRPr="00316415">
        <w:rPr>
          <w:rFonts w:ascii="Arial" w:hAnsi="Arial" w:cs="Arial"/>
          <w:sz w:val="22"/>
          <w:szCs w:val="22"/>
          <w:lang w:val="es-PA"/>
        </w:rPr>
        <w:t xml:space="preserve"> su complejidad, estructura, tamaño, negocio y recursos se recomiendan que los componentes de indicadores y limites sea para los riesgos materiales para la entidad y no para todos los tipos de riesgo que lista el </w:t>
      </w:r>
      <w:r w:rsidR="00D67E20" w:rsidRPr="00316415">
        <w:rPr>
          <w:rFonts w:ascii="Arial" w:hAnsi="Arial" w:cs="Arial"/>
          <w:sz w:val="22"/>
          <w:szCs w:val="22"/>
          <w:lang w:val="es-PA"/>
        </w:rPr>
        <w:t>artículo</w:t>
      </w:r>
      <w:r w:rsidRPr="00316415">
        <w:rPr>
          <w:rFonts w:ascii="Arial" w:hAnsi="Arial" w:cs="Arial"/>
          <w:sz w:val="22"/>
          <w:szCs w:val="22"/>
          <w:lang w:val="es-PA"/>
        </w:rPr>
        <w:t xml:space="preserve"> 5.</w:t>
      </w:r>
    </w:p>
    <w:p w14:paraId="36085338" w14:textId="6BDB28DF" w:rsidR="00763093" w:rsidRPr="00316415" w:rsidRDefault="00D67E20" w:rsidP="00E23D2E">
      <w:pPr>
        <w:jc w:val="both"/>
        <w:rPr>
          <w:rFonts w:ascii="Arial" w:hAnsi="Arial" w:cs="Arial"/>
          <w:b/>
          <w:bCs/>
          <w:sz w:val="22"/>
          <w:szCs w:val="22"/>
          <w:lang w:val="es-PA"/>
        </w:rPr>
      </w:pPr>
      <w:r w:rsidRPr="00316415">
        <w:rPr>
          <w:rFonts w:ascii="Arial" w:hAnsi="Arial" w:cs="Arial"/>
          <w:b/>
          <w:bCs/>
          <w:sz w:val="22"/>
          <w:szCs w:val="22"/>
          <w:lang w:val="es-PA"/>
        </w:rPr>
        <w:t>Artículo</w:t>
      </w:r>
      <w:r w:rsidR="00763093" w:rsidRPr="00316415">
        <w:rPr>
          <w:rFonts w:ascii="Arial" w:hAnsi="Arial" w:cs="Arial"/>
          <w:b/>
          <w:bCs/>
          <w:sz w:val="22"/>
          <w:szCs w:val="22"/>
          <w:lang w:val="es-PA"/>
        </w:rPr>
        <w:t xml:space="preserve"> 20: Componente de la Gestión de cada Riego:</w:t>
      </w:r>
    </w:p>
    <w:p w14:paraId="1849AE73" w14:textId="19E24C9C" w:rsidR="00763093" w:rsidRPr="00316415" w:rsidRDefault="00C56EC5" w:rsidP="00E23D2E">
      <w:pPr>
        <w:jc w:val="both"/>
        <w:rPr>
          <w:rFonts w:ascii="Arial" w:hAnsi="Arial" w:cs="Arial"/>
          <w:sz w:val="22"/>
          <w:szCs w:val="22"/>
          <w:lang w:val="es-PA"/>
        </w:rPr>
      </w:pPr>
      <w:r w:rsidRPr="00316415">
        <w:rPr>
          <w:rFonts w:ascii="Arial" w:hAnsi="Arial" w:cs="Arial"/>
          <w:sz w:val="22"/>
          <w:szCs w:val="22"/>
          <w:lang w:val="es-PA"/>
        </w:rPr>
        <w:t xml:space="preserve">Este punto ya </w:t>
      </w:r>
      <w:r w:rsidR="00D67E20" w:rsidRPr="00316415">
        <w:rPr>
          <w:rFonts w:ascii="Arial" w:hAnsi="Arial" w:cs="Arial"/>
          <w:sz w:val="22"/>
          <w:szCs w:val="22"/>
          <w:lang w:val="es-PA"/>
        </w:rPr>
        <w:t>está</w:t>
      </w:r>
      <w:r w:rsidRPr="00316415">
        <w:rPr>
          <w:rFonts w:ascii="Arial" w:hAnsi="Arial" w:cs="Arial"/>
          <w:sz w:val="22"/>
          <w:szCs w:val="22"/>
          <w:lang w:val="es-PA"/>
        </w:rPr>
        <w:t xml:space="preserve"> establecido en el Art. 4 y es redundante, por lo que se sugiere fusionarlo o dejar solo uno de los dos.</w:t>
      </w:r>
    </w:p>
    <w:p w14:paraId="1B1C421F" w14:textId="77777777" w:rsidR="008B5A43" w:rsidRDefault="00763093" w:rsidP="008B5A43">
      <w:pPr>
        <w:jc w:val="center"/>
        <w:rPr>
          <w:rFonts w:ascii="Arial" w:hAnsi="Arial" w:cs="Arial"/>
          <w:b/>
          <w:bCs/>
          <w:sz w:val="22"/>
          <w:szCs w:val="22"/>
          <w:lang w:val="es-PA"/>
        </w:rPr>
      </w:pPr>
      <w:r w:rsidRPr="00964D3C">
        <w:rPr>
          <w:rFonts w:ascii="Arial" w:hAnsi="Arial" w:cs="Arial"/>
          <w:b/>
          <w:bCs/>
          <w:sz w:val="22"/>
          <w:szCs w:val="22"/>
          <w:lang w:val="es-PA"/>
        </w:rPr>
        <w:t xml:space="preserve">Capitulo VII </w:t>
      </w:r>
    </w:p>
    <w:p w14:paraId="42B78859" w14:textId="47CCE93A" w:rsidR="00763093" w:rsidRPr="00964D3C" w:rsidRDefault="00763093" w:rsidP="00964D3C">
      <w:pPr>
        <w:jc w:val="center"/>
        <w:rPr>
          <w:rFonts w:ascii="Arial" w:hAnsi="Arial" w:cs="Arial"/>
          <w:b/>
          <w:bCs/>
          <w:sz w:val="22"/>
          <w:szCs w:val="22"/>
          <w:lang w:val="es-PA"/>
        </w:rPr>
      </w:pPr>
      <w:r w:rsidRPr="00964D3C">
        <w:rPr>
          <w:rFonts w:ascii="Arial" w:hAnsi="Arial" w:cs="Arial"/>
          <w:b/>
          <w:bCs/>
          <w:sz w:val="22"/>
          <w:szCs w:val="22"/>
          <w:lang w:val="es-PA"/>
        </w:rPr>
        <w:t>Sistema de información</w:t>
      </w:r>
    </w:p>
    <w:p w14:paraId="59C5D475" w14:textId="77777777" w:rsidR="00763093" w:rsidRPr="00316415" w:rsidRDefault="00763093" w:rsidP="00E23D2E">
      <w:pPr>
        <w:jc w:val="both"/>
        <w:rPr>
          <w:rFonts w:ascii="Arial" w:hAnsi="Arial" w:cs="Arial"/>
          <w:b/>
          <w:bCs/>
          <w:sz w:val="22"/>
          <w:szCs w:val="22"/>
          <w:lang w:val="es-PA"/>
        </w:rPr>
      </w:pPr>
      <w:r w:rsidRPr="00316415">
        <w:rPr>
          <w:rFonts w:ascii="Arial" w:hAnsi="Arial" w:cs="Arial"/>
          <w:b/>
          <w:bCs/>
          <w:sz w:val="22"/>
          <w:szCs w:val="22"/>
          <w:lang w:val="es-PA"/>
        </w:rPr>
        <w:t>Artículo 21: Informe de Evaluación anual de la Gestión Integral de Riesgos (GIR). Hay puntos redundantes con el Art. 7 del Manual de riesgo.</w:t>
      </w:r>
    </w:p>
    <w:p w14:paraId="15F6A942" w14:textId="2303A033" w:rsidR="00763093" w:rsidRPr="00316415" w:rsidRDefault="00603BEC" w:rsidP="00E23D2E">
      <w:pPr>
        <w:jc w:val="both"/>
        <w:rPr>
          <w:rFonts w:ascii="Arial" w:hAnsi="Arial" w:cs="Arial"/>
          <w:sz w:val="22"/>
          <w:szCs w:val="22"/>
          <w:lang w:val="es-PA"/>
        </w:rPr>
      </w:pPr>
      <w:r w:rsidRPr="00316415">
        <w:rPr>
          <w:rFonts w:ascii="Arial" w:hAnsi="Arial" w:cs="Arial"/>
          <w:sz w:val="22"/>
          <w:szCs w:val="22"/>
          <w:lang w:val="es-PA"/>
        </w:rPr>
        <w:t xml:space="preserve">Modificar </w:t>
      </w:r>
      <w:r w:rsidR="008B5A43">
        <w:rPr>
          <w:rFonts w:ascii="Arial" w:hAnsi="Arial" w:cs="Arial"/>
          <w:sz w:val="22"/>
          <w:szCs w:val="22"/>
          <w:lang w:val="es-PA"/>
        </w:rPr>
        <w:t>“</w:t>
      </w:r>
      <w:r w:rsidRPr="00964D3C">
        <w:rPr>
          <w:rFonts w:ascii="Arial" w:hAnsi="Arial" w:cs="Arial"/>
          <w:sz w:val="22"/>
          <w:szCs w:val="22"/>
          <w:lang w:val="es-PA"/>
        </w:rPr>
        <w:t>partes relacionadas</w:t>
      </w:r>
      <w:r w:rsidR="008B5A43">
        <w:rPr>
          <w:rFonts w:ascii="Arial" w:hAnsi="Arial" w:cs="Arial"/>
          <w:sz w:val="22"/>
          <w:szCs w:val="22"/>
          <w:lang w:val="es-PA"/>
        </w:rPr>
        <w:t>”</w:t>
      </w:r>
      <w:r w:rsidRPr="00316415">
        <w:rPr>
          <w:rFonts w:ascii="Arial" w:hAnsi="Arial" w:cs="Arial"/>
          <w:sz w:val="22"/>
          <w:szCs w:val="22"/>
          <w:lang w:val="es-PA"/>
        </w:rPr>
        <w:t xml:space="preserve"> por </w:t>
      </w:r>
      <w:r w:rsidR="00964D3C">
        <w:rPr>
          <w:rFonts w:ascii="Arial" w:hAnsi="Arial" w:cs="Arial"/>
          <w:sz w:val="22"/>
          <w:szCs w:val="22"/>
          <w:lang w:val="es-PA"/>
        </w:rPr>
        <w:t>“</w:t>
      </w:r>
      <w:r w:rsidRPr="00964D3C">
        <w:rPr>
          <w:rFonts w:ascii="Arial" w:hAnsi="Arial" w:cs="Arial"/>
          <w:sz w:val="22"/>
          <w:szCs w:val="22"/>
          <w:lang w:val="es-PA"/>
        </w:rPr>
        <w:t>subsidiarias en las que tenga contro</w:t>
      </w:r>
      <w:r w:rsidR="002A0FC7" w:rsidRPr="00964D3C">
        <w:rPr>
          <w:rFonts w:ascii="Arial" w:hAnsi="Arial" w:cs="Arial"/>
          <w:sz w:val="22"/>
          <w:szCs w:val="22"/>
          <w:lang w:val="es-PA"/>
        </w:rPr>
        <w:t>l</w:t>
      </w:r>
      <w:r w:rsidR="00964D3C" w:rsidRPr="00964D3C">
        <w:rPr>
          <w:rFonts w:ascii="Arial" w:hAnsi="Arial" w:cs="Arial"/>
          <w:sz w:val="22"/>
          <w:szCs w:val="22"/>
          <w:lang w:val="es-PA"/>
        </w:rPr>
        <w:t>”.</w:t>
      </w:r>
    </w:p>
    <w:p w14:paraId="39815A4C" w14:textId="14359597" w:rsidR="001221BE" w:rsidRPr="00316415" w:rsidRDefault="001221BE" w:rsidP="00E23D2E">
      <w:pPr>
        <w:jc w:val="both"/>
        <w:rPr>
          <w:rFonts w:ascii="Arial" w:hAnsi="Arial" w:cs="Arial"/>
          <w:sz w:val="22"/>
          <w:szCs w:val="22"/>
          <w:lang w:val="es-PA"/>
        </w:rPr>
      </w:pPr>
      <w:r w:rsidRPr="00316415">
        <w:rPr>
          <w:rFonts w:ascii="Arial" w:hAnsi="Arial" w:cs="Arial"/>
          <w:sz w:val="22"/>
          <w:szCs w:val="22"/>
          <w:lang w:val="es-PA"/>
        </w:rPr>
        <w:t xml:space="preserve">En relación al informe de evaluación anual de la </w:t>
      </w:r>
      <w:r w:rsidR="00D67E20" w:rsidRPr="00316415">
        <w:rPr>
          <w:rFonts w:ascii="Arial" w:hAnsi="Arial" w:cs="Arial"/>
          <w:sz w:val="22"/>
          <w:szCs w:val="22"/>
          <w:lang w:val="es-PA"/>
        </w:rPr>
        <w:t>Gestión</w:t>
      </w:r>
      <w:r w:rsidRPr="00316415">
        <w:rPr>
          <w:rFonts w:ascii="Arial" w:hAnsi="Arial" w:cs="Arial"/>
          <w:sz w:val="22"/>
          <w:szCs w:val="22"/>
          <w:lang w:val="es-PA"/>
        </w:rPr>
        <w:t xml:space="preserve"> Integral de Riesgos, se observan que varios de los puntos del contenido son los mismos que se solicitan en el manual de gestión de riesgos teniendo una duplicidad, adicional se solicita que el cuestionario de autoevaluación sea compartido al momento de la publicación de la norma y de ser posible evaluar la factibilidad de que sea un solo requerimiento y no dos considerando que los entregables tienen que ser aprobados por Junta Directiva previo al </w:t>
      </w:r>
      <w:r w:rsidR="00D67E20" w:rsidRPr="00316415">
        <w:rPr>
          <w:rFonts w:ascii="Arial" w:hAnsi="Arial" w:cs="Arial"/>
          <w:sz w:val="22"/>
          <w:szCs w:val="22"/>
          <w:lang w:val="es-PA"/>
        </w:rPr>
        <w:t>envío</w:t>
      </w:r>
      <w:r w:rsidRPr="00316415">
        <w:rPr>
          <w:rFonts w:ascii="Arial" w:hAnsi="Arial" w:cs="Arial"/>
          <w:sz w:val="22"/>
          <w:szCs w:val="22"/>
          <w:lang w:val="es-PA"/>
        </w:rPr>
        <w:t xml:space="preserve"> al regulador lo que deja plazos de tiempos bastantes limitantes sobre todo para las entidades que tercerizan el servicio.</w:t>
      </w:r>
    </w:p>
    <w:p w14:paraId="407C78EB" w14:textId="4F3E3106" w:rsidR="00E665D5" w:rsidRPr="00316415" w:rsidRDefault="004D6176" w:rsidP="00E23D2E">
      <w:pPr>
        <w:jc w:val="both"/>
        <w:rPr>
          <w:rFonts w:ascii="Arial" w:hAnsi="Arial" w:cs="Arial"/>
          <w:sz w:val="22"/>
          <w:szCs w:val="22"/>
          <w:lang w:val="es-PA"/>
        </w:rPr>
      </w:pPr>
      <w:r w:rsidRPr="00316415">
        <w:rPr>
          <w:rFonts w:ascii="Arial" w:hAnsi="Arial" w:cs="Arial"/>
          <w:sz w:val="22"/>
          <w:szCs w:val="22"/>
          <w:lang w:val="es-PA"/>
        </w:rPr>
        <w:t>.</w:t>
      </w:r>
    </w:p>
    <w:p w14:paraId="4ECADDF7" w14:textId="77777777" w:rsidR="00763093" w:rsidRPr="00316415" w:rsidRDefault="00763093" w:rsidP="00E23D2E">
      <w:pPr>
        <w:jc w:val="both"/>
        <w:rPr>
          <w:rFonts w:ascii="Arial" w:hAnsi="Arial" w:cs="Arial"/>
          <w:sz w:val="22"/>
          <w:szCs w:val="22"/>
          <w:lang w:val="es-PA"/>
        </w:rPr>
      </w:pPr>
    </w:p>
    <w:p w14:paraId="6A198E37" w14:textId="77777777" w:rsidR="00763093" w:rsidRPr="00316415" w:rsidRDefault="00763093" w:rsidP="00CE22E5">
      <w:pPr>
        <w:jc w:val="center"/>
        <w:rPr>
          <w:rFonts w:ascii="Arial" w:hAnsi="Arial" w:cs="Arial"/>
          <w:b/>
          <w:bCs/>
          <w:sz w:val="22"/>
          <w:szCs w:val="22"/>
          <w:lang w:val="es-PA"/>
        </w:rPr>
      </w:pPr>
    </w:p>
    <w:p w14:paraId="13CC6F8C" w14:textId="77777777" w:rsidR="006C0D35" w:rsidRPr="00316415" w:rsidRDefault="006C0D35" w:rsidP="00CE22E5">
      <w:pPr>
        <w:jc w:val="center"/>
        <w:rPr>
          <w:rFonts w:ascii="Arial" w:hAnsi="Arial" w:cs="Arial"/>
          <w:b/>
          <w:bCs/>
          <w:sz w:val="22"/>
          <w:szCs w:val="22"/>
          <w:lang w:val="es-PA"/>
        </w:rPr>
      </w:pPr>
    </w:p>
    <w:p w14:paraId="3FC2BBDF" w14:textId="77777777" w:rsidR="006C0D35" w:rsidRPr="00316415" w:rsidRDefault="006C0D35" w:rsidP="00CE22E5">
      <w:pPr>
        <w:jc w:val="center"/>
        <w:rPr>
          <w:rFonts w:ascii="Arial" w:hAnsi="Arial" w:cs="Arial"/>
          <w:b/>
          <w:bCs/>
          <w:sz w:val="22"/>
          <w:szCs w:val="22"/>
          <w:lang w:val="es-PA"/>
        </w:rPr>
      </w:pPr>
    </w:p>
    <w:p w14:paraId="66F7C7AB" w14:textId="431E387F" w:rsidR="00763093" w:rsidRPr="00316415" w:rsidRDefault="00763093" w:rsidP="006C0D35">
      <w:pPr>
        <w:jc w:val="center"/>
        <w:rPr>
          <w:rFonts w:ascii="Arial" w:hAnsi="Arial" w:cs="Arial"/>
          <w:b/>
          <w:bCs/>
          <w:sz w:val="22"/>
          <w:szCs w:val="22"/>
          <w:lang w:val="es-PA"/>
        </w:rPr>
      </w:pPr>
      <w:r w:rsidRPr="00316415">
        <w:rPr>
          <w:rFonts w:ascii="Arial" w:hAnsi="Arial" w:cs="Arial"/>
          <w:b/>
          <w:bCs/>
          <w:sz w:val="22"/>
          <w:szCs w:val="22"/>
          <w:lang w:val="es-PA"/>
        </w:rPr>
        <w:t>Capitulo VIII Disposiciones finales</w:t>
      </w:r>
    </w:p>
    <w:p w14:paraId="34C0D973" w14:textId="77777777" w:rsidR="00763093" w:rsidRPr="00316415" w:rsidRDefault="00763093" w:rsidP="00E23D2E">
      <w:pPr>
        <w:jc w:val="both"/>
        <w:rPr>
          <w:rFonts w:ascii="Arial" w:hAnsi="Arial" w:cs="Arial"/>
          <w:b/>
          <w:bCs/>
          <w:sz w:val="22"/>
          <w:szCs w:val="22"/>
          <w:lang w:val="es-PA"/>
        </w:rPr>
      </w:pPr>
    </w:p>
    <w:p w14:paraId="38302D36" w14:textId="0205550F" w:rsidR="00763093" w:rsidRPr="00D67E20" w:rsidRDefault="00763093" w:rsidP="00E23D2E">
      <w:pPr>
        <w:jc w:val="both"/>
        <w:rPr>
          <w:rFonts w:ascii="Arial" w:hAnsi="Arial" w:cs="Arial"/>
          <w:sz w:val="22"/>
          <w:szCs w:val="22"/>
          <w:lang w:val="es-PA"/>
        </w:rPr>
      </w:pPr>
      <w:r w:rsidRPr="00316415">
        <w:rPr>
          <w:rFonts w:ascii="Arial" w:hAnsi="Arial" w:cs="Arial"/>
          <w:b/>
          <w:bCs/>
          <w:sz w:val="22"/>
          <w:szCs w:val="22"/>
          <w:lang w:val="es-PA"/>
        </w:rPr>
        <w:t>Artículo 23: Adecuación de Códigos de Conducta:</w:t>
      </w:r>
      <w:r w:rsidRPr="00316415">
        <w:rPr>
          <w:rFonts w:ascii="Arial" w:hAnsi="Arial" w:cs="Arial"/>
          <w:sz w:val="22"/>
          <w:szCs w:val="22"/>
          <w:lang w:val="es-PA"/>
        </w:rPr>
        <w:t xml:space="preserve">  Observación: </w:t>
      </w:r>
      <w:r w:rsidR="00D67E20" w:rsidRPr="00316415">
        <w:rPr>
          <w:rStyle w:val="cf01"/>
          <w:rFonts w:ascii="Arial" w:hAnsi="Arial" w:cs="Arial"/>
          <w:sz w:val="22"/>
          <w:szCs w:val="22"/>
          <w:lang w:val="es-PA"/>
        </w:rPr>
        <w:t>¿Cuál es el alcance de la adecuación del código de conducta con</w:t>
      </w:r>
      <w:r w:rsidR="00D67E20" w:rsidRPr="00D67E20">
        <w:rPr>
          <w:rStyle w:val="cf01"/>
          <w:rFonts w:ascii="Arial" w:hAnsi="Arial" w:cs="Arial"/>
          <w:sz w:val="22"/>
          <w:szCs w:val="22"/>
          <w:lang w:val="es-PA"/>
        </w:rPr>
        <w:t xml:space="preserve"> respecto a la GIR?</w:t>
      </w:r>
    </w:p>
    <w:sectPr w:rsidR="00763093" w:rsidRPr="00D67E2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B254" w14:textId="77777777" w:rsidR="00AA46D1" w:rsidRDefault="00AA46D1" w:rsidP="00D67E20">
      <w:pPr>
        <w:spacing w:after="0" w:line="240" w:lineRule="auto"/>
      </w:pPr>
      <w:r>
        <w:separator/>
      </w:r>
    </w:p>
  </w:endnote>
  <w:endnote w:type="continuationSeparator" w:id="0">
    <w:p w14:paraId="3EE25169" w14:textId="77777777" w:rsidR="00AA46D1" w:rsidRDefault="00AA46D1" w:rsidP="00D6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458882"/>
      <w:docPartObj>
        <w:docPartGallery w:val="Page Numbers (Bottom of Page)"/>
        <w:docPartUnique/>
      </w:docPartObj>
    </w:sdtPr>
    <w:sdtEndPr>
      <w:rPr>
        <w:noProof/>
      </w:rPr>
    </w:sdtEndPr>
    <w:sdtContent>
      <w:p w14:paraId="6B3A849C" w14:textId="632BAC05" w:rsidR="00D67E20" w:rsidRDefault="00D67E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749D4E" w14:textId="77777777" w:rsidR="00D67E20" w:rsidRDefault="00D67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2F7D" w14:textId="77777777" w:rsidR="00AA46D1" w:rsidRDefault="00AA46D1" w:rsidP="00D67E20">
      <w:pPr>
        <w:spacing w:after="0" w:line="240" w:lineRule="auto"/>
      </w:pPr>
      <w:r>
        <w:separator/>
      </w:r>
    </w:p>
  </w:footnote>
  <w:footnote w:type="continuationSeparator" w:id="0">
    <w:p w14:paraId="4CE2F789" w14:textId="77777777" w:rsidR="00AA46D1" w:rsidRDefault="00AA46D1" w:rsidP="00D67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F17D" w14:textId="0AA6BB2E" w:rsidR="00D67E20" w:rsidRDefault="00D67E20">
    <w:pPr>
      <w:pStyle w:val="Header"/>
    </w:pPr>
    <w:r>
      <w:rPr>
        <w:noProof/>
      </w:rPr>
      <w:drawing>
        <wp:inline distT="0" distB="0" distL="0" distR="0" wp14:anchorId="39677D86" wp14:editId="791E48D9">
          <wp:extent cx="1348740" cy="544683"/>
          <wp:effectExtent l="0" t="0" r="3810" b="8255"/>
          <wp:docPr id="835231077"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31077" name="Picture 1"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4196" cy="554963"/>
                  </a:xfrm>
                  <a:prstGeom prst="rect">
                    <a:avLst/>
                  </a:prstGeom>
                </pic:spPr>
              </pic:pic>
            </a:graphicData>
          </a:graphic>
        </wp:inline>
      </w:drawing>
    </w:r>
  </w:p>
  <w:p w14:paraId="00FD334A" w14:textId="77777777" w:rsidR="00D67E20" w:rsidRDefault="00D67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3DA"/>
    <w:multiLevelType w:val="multilevel"/>
    <w:tmpl w:val="E3A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848C0"/>
    <w:multiLevelType w:val="multilevel"/>
    <w:tmpl w:val="7108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B6AAB"/>
    <w:multiLevelType w:val="multilevel"/>
    <w:tmpl w:val="CAAE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5424D"/>
    <w:multiLevelType w:val="hybridMultilevel"/>
    <w:tmpl w:val="687AA136"/>
    <w:lvl w:ilvl="0" w:tplc="1C6A69B2">
      <w:start w:val="1"/>
      <w:numFmt w:val="bullet"/>
      <w:lvlText w:val=""/>
      <w:lvlJc w:val="left"/>
      <w:pPr>
        <w:ind w:left="720" w:hanging="360"/>
      </w:pPr>
      <w:rPr>
        <w:rFonts w:ascii="Symbol" w:hAnsi="Symbol"/>
      </w:rPr>
    </w:lvl>
    <w:lvl w:ilvl="1" w:tplc="61903112">
      <w:start w:val="1"/>
      <w:numFmt w:val="bullet"/>
      <w:lvlText w:val=""/>
      <w:lvlJc w:val="left"/>
      <w:pPr>
        <w:ind w:left="720" w:hanging="360"/>
      </w:pPr>
      <w:rPr>
        <w:rFonts w:ascii="Symbol" w:hAnsi="Symbol"/>
      </w:rPr>
    </w:lvl>
    <w:lvl w:ilvl="2" w:tplc="FF52B85A">
      <w:start w:val="1"/>
      <w:numFmt w:val="bullet"/>
      <w:lvlText w:val=""/>
      <w:lvlJc w:val="left"/>
      <w:pPr>
        <w:ind w:left="720" w:hanging="360"/>
      </w:pPr>
      <w:rPr>
        <w:rFonts w:ascii="Symbol" w:hAnsi="Symbol"/>
      </w:rPr>
    </w:lvl>
    <w:lvl w:ilvl="3" w:tplc="D890BCF2">
      <w:start w:val="1"/>
      <w:numFmt w:val="bullet"/>
      <w:lvlText w:val=""/>
      <w:lvlJc w:val="left"/>
      <w:pPr>
        <w:ind w:left="720" w:hanging="360"/>
      </w:pPr>
      <w:rPr>
        <w:rFonts w:ascii="Symbol" w:hAnsi="Symbol"/>
      </w:rPr>
    </w:lvl>
    <w:lvl w:ilvl="4" w:tplc="3CDAC49E">
      <w:start w:val="1"/>
      <w:numFmt w:val="bullet"/>
      <w:lvlText w:val=""/>
      <w:lvlJc w:val="left"/>
      <w:pPr>
        <w:ind w:left="720" w:hanging="360"/>
      </w:pPr>
      <w:rPr>
        <w:rFonts w:ascii="Symbol" w:hAnsi="Symbol"/>
      </w:rPr>
    </w:lvl>
    <w:lvl w:ilvl="5" w:tplc="622ED83C">
      <w:start w:val="1"/>
      <w:numFmt w:val="bullet"/>
      <w:lvlText w:val=""/>
      <w:lvlJc w:val="left"/>
      <w:pPr>
        <w:ind w:left="720" w:hanging="360"/>
      </w:pPr>
      <w:rPr>
        <w:rFonts w:ascii="Symbol" w:hAnsi="Symbol"/>
      </w:rPr>
    </w:lvl>
    <w:lvl w:ilvl="6" w:tplc="3434F8D8">
      <w:start w:val="1"/>
      <w:numFmt w:val="bullet"/>
      <w:lvlText w:val=""/>
      <w:lvlJc w:val="left"/>
      <w:pPr>
        <w:ind w:left="720" w:hanging="360"/>
      </w:pPr>
      <w:rPr>
        <w:rFonts w:ascii="Symbol" w:hAnsi="Symbol"/>
      </w:rPr>
    </w:lvl>
    <w:lvl w:ilvl="7" w:tplc="0AA4A4A4">
      <w:start w:val="1"/>
      <w:numFmt w:val="bullet"/>
      <w:lvlText w:val=""/>
      <w:lvlJc w:val="left"/>
      <w:pPr>
        <w:ind w:left="720" w:hanging="360"/>
      </w:pPr>
      <w:rPr>
        <w:rFonts w:ascii="Symbol" w:hAnsi="Symbol"/>
      </w:rPr>
    </w:lvl>
    <w:lvl w:ilvl="8" w:tplc="BD5E79D8">
      <w:start w:val="1"/>
      <w:numFmt w:val="bullet"/>
      <w:lvlText w:val=""/>
      <w:lvlJc w:val="left"/>
      <w:pPr>
        <w:ind w:left="720" w:hanging="360"/>
      </w:pPr>
      <w:rPr>
        <w:rFonts w:ascii="Symbol" w:hAnsi="Symbol"/>
      </w:rPr>
    </w:lvl>
  </w:abstractNum>
  <w:abstractNum w:abstractNumId="4" w15:restartNumberingAfterBreak="0">
    <w:nsid w:val="19284289"/>
    <w:multiLevelType w:val="multilevel"/>
    <w:tmpl w:val="661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27282"/>
    <w:multiLevelType w:val="hybridMultilevel"/>
    <w:tmpl w:val="52420DA0"/>
    <w:lvl w:ilvl="0" w:tplc="0D3E700E">
      <w:start w:val="1"/>
      <w:numFmt w:val="decimal"/>
      <w:lvlText w:val="%1."/>
      <w:lvlJc w:val="left"/>
      <w:pPr>
        <w:ind w:left="720" w:hanging="360"/>
      </w:pPr>
    </w:lvl>
    <w:lvl w:ilvl="1" w:tplc="46267CD0">
      <w:start w:val="1"/>
      <w:numFmt w:val="decimal"/>
      <w:lvlText w:val="%2."/>
      <w:lvlJc w:val="left"/>
      <w:pPr>
        <w:ind w:left="720" w:hanging="360"/>
      </w:pPr>
    </w:lvl>
    <w:lvl w:ilvl="2" w:tplc="9F4E0C5C">
      <w:start w:val="1"/>
      <w:numFmt w:val="decimal"/>
      <w:lvlText w:val="%3."/>
      <w:lvlJc w:val="left"/>
      <w:pPr>
        <w:ind w:left="720" w:hanging="360"/>
      </w:pPr>
    </w:lvl>
    <w:lvl w:ilvl="3" w:tplc="71A401D6">
      <w:start w:val="1"/>
      <w:numFmt w:val="decimal"/>
      <w:lvlText w:val="%4."/>
      <w:lvlJc w:val="left"/>
      <w:pPr>
        <w:ind w:left="720" w:hanging="360"/>
      </w:pPr>
    </w:lvl>
    <w:lvl w:ilvl="4" w:tplc="EF949954">
      <w:start w:val="1"/>
      <w:numFmt w:val="decimal"/>
      <w:lvlText w:val="%5."/>
      <w:lvlJc w:val="left"/>
      <w:pPr>
        <w:ind w:left="720" w:hanging="360"/>
      </w:pPr>
    </w:lvl>
    <w:lvl w:ilvl="5" w:tplc="A6CA0D3C">
      <w:start w:val="1"/>
      <w:numFmt w:val="decimal"/>
      <w:lvlText w:val="%6."/>
      <w:lvlJc w:val="left"/>
      <w:pPr>
        <w:ind w:left="720" w:hanging="360"/>
      </w:pPr>
    </w:lvl>
    <w:lvl w:ilvl="6" w:tplc="301E566E">
      <w:start w:val="1"/>
      <w:numFmt w:val="decimal"/>
      <w:lvlText w:val="%7."/>
      <w:lvlJc w:val="left"/>
      <w:pPr>
        <w:ind w:left="720" w:hanging="360"/>
      </w:pPr>
    </w:lvl>
    <w:lvl w:ilvl="7" w:tplc="1946EA28">
      <w:start w:val="1"/>
      <w:numFmt w:val="decimal"/>
      <w:lvlText w:val="%8."/>
      <w:lvlJc w:val="left"/>
      <w:pPr>
        <w:ind w:left="720" w:hanging="360"/>
      </w:pPr>
    </w:lvl>
    <w:lvl w:ilvl="8" w:tplc="A840351A">
      <w:start w:val="1"/>
      <w:numFmt w:val="decimal"/>
      <w:lvlText w:val="%9."/>
      <w:lvlJc w:val="left"/>
      <w:pPr>
        <w:ind w:left="720" w:hanging="360"/>
      </w:pPr>
    </w:lvl>
  </w:abstractNum>
  <w:abstractNum w:abstractNumId="6" w15:restartNumberingAfterBreak="0">
    <w:nsid w:val="2A72224A"/>
    <w:multiLevelType w:val="multilevel"/>
    <w:tmpl w:val="3D16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036AE"/>
    <w:multiLevelType w:val="multilevel"/>
    <w:tmpl w:val="F5CE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16BF7"/>
    <w:multiLevelType w:val="multilevel"/>
    <w:tmpl w:val="5B0C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996697"/>
    <w:multiLevelType w:val="hybridMultilevel"/>
    <w:tmpl w:val="85F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17FA6"/>
    <w:multiLevelType w:val="multilevel"/>
    <w:tmpl w:val="8E00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E2DE7"/>
    <w:multiLevelType w:val="multilevel"/>
    <w:tmpl w:val="522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C2E5E"/>
    <w:multiLevelType w:val="multilevel"/>
    <w:tmpl w:val="2ED0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962583">
    <w:abstractNumId w:val="3"/>
  </w:num>
  <w:num w:numId="2" w16cid:durableId="975374772">
    <w:abstractNumId w:val="5"/>
  </w:num>
  <w:num w:numId="3" w16cid:durableId="385879160">
    <w:abstractNumId w:val="1"/>
  </w:num>
  <w:num w:numId="4" w16cid:durableId="571892789">
    <w:abstractNumId w:val="12"/>
  </w:num>
  <w:num w:numId="5" w16cid:durableId="987518948">
    <w:abstractNumId w:val="4"/>
  </w:num>
  <w:num w:numId="6" w16cid:durableId="1968704160">
    <w:abstractNumId w:val="0"/>
  </w:num>
  <w:num w:numId="7" w16cid:durableId="159976193">
    <w:abstractNumId w:val="8"/>
  </w:num>
  <w:num w:numId="8" w16cid:durableId="463817951">
    <w:abstractNumId w:val="9"/>
  </w:num>
  <w:num w:numId="9" w16cid:durableId="1394548581">
    <w:abstractNumId w:val="7"/>
  </w:num>
  <w:num w:numId="10" w16cid:durableId="1795514484">
    <w:abstractNumId w:val="6"/>
  </w:num>
  <w:num w:numId="11" w16cid:durableId="1097675761">
    <w:abstractNumId w:val="2"/>
  </w:num>
  <w:num w:numId="12" w16cid:durableId="2043549103">
    <w:abstractNumId w:val="11"/>
  </w:num>
  <w:num w:numId="13" w16cid:durableId="1555656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93"/>
    <w:rsid w:val="00034BB3"/>
    <w:rsid w:val="000609EE"/>
    <w:rsid w:val="000B101E"/>
    <w:rsid w:val="000C591F"/>
    <w:rsid w:val="000D0DF1"/>
    <w:rsid w:val="000E4009"/>
    <w:rsid w:val="000E7582"/>
    <w:rsid w:val="000F5426"/>
    <w:rsid w:val="00113937"/>
    <w:rsid w:val="001221BE"/>
    <w:rsid w:val="00122595"/>
    <w:rsid w:val="001B21E0"/>
    <w:rsid w:val="001D57AC"/>
    <w:rsid w:val="001E20A5"/>
    <w:rsid w:val="001F069D"/>
    <w:rsid w:val="00211AD3"/>
    <w:rsid w:val="0021555E"/>
    <w:rsid w:val="002220D4"/>
    <w:rsid w:val="002624D7"/>
    <w:rsid w:val="002A0FC7"/>
    <w:rsid w:val="002C6565"/>
    <w:rsid w:val="00307365"/>
    <w:rsid w:val="00316415"/>
    <w:rsid w:val="00334987"/>
    <w:rsid w:val="00362305"/>
    <w:rsid w:val="00373476"/>
    <w:rsid w:val="003820B0"/>
    <w:rsid w:val="0039485C"/>
    <w:rsid w:val="003A4669"/>
    <w:rsid w:val="003E1BC4"/>
    <w:rsid w:val="004636A2"/>
    <w:rsid w:val="00473C56"/>
    <w:rsid w:val="004D6176"/>
    <w:rsid w:val="00553B88"/>
    <w:rsid w:val="005B495E"/>
    <w:rsid w:val="005D399D"/>
    <w:rsid w:val="005E3BBF"/>
    <w:rsid w:val="00603BEC"/>
    <w:rsid w:val="00604B52"/>
    <w:rsid w:val="00606748"/>
    <w:rsid w:val="00665B62"/>
    <w:rsid w:val="006A1773"/>
    <w:rsid w:val="006C0D35"/>
    <w:rsid w:val="006D48E3"/>
    <w:rsid w:val="006F7162"/>
    <w:rsid w:val="00725BB0"/>
    <w:rsid w:val="00763093"/>
    <w:rsid w:val="0078079E"/>
    <w:rsid w:val="0079594E"/>
    <w:rsid w:val="007A1433"/>
    <w:rsid w:val="007C189B"/>
    <w:rsid w:val="007D544F"/>
    <w:rsid w:val="007E0CEF"/>
    <w:rsid w:val="007E2502"/>
    <w:rsid w:val="00822796"/>
    <w:rsid w:val="00855603"/>
    <w:rsid w:val="008752EB"/>
    <w:rsid w:val="008B5A43"/>
    <w:rsid w:val="008C5B47"/>
    <w:rsid w:val="008D684F"/>
    <w:rsid w:val="00900BA1"/>
    <w:rsid w:val="009044A5"/>
    <w:rsid w:val="00907D02"/>
    <w:rsid w:val="00964D3C"/>
    <w:rsid w:val="009801AA"/>
    <w:rsid w:val="00993EC6"/>
    <w:rsid w:val="009E27B0"/>
    <w:rsid w:val="00A86A44"/>
    <w:rsid w:val="00AA46D1"/>
    <w:rsid w:val="00AE760B"/>
    <w:rsid w:val="00AF3636"/>
    <w:rsid w:val="00AF4AB4"/>
    <w:rsid w:val="00AF6F72"/>
    <w:rsid w:val="00B032F3"/>
    <w:rsid w:val="00B864A9"/>
    <w:rsid w:val="00BC16E1"/>
    <w:rsid w:val="00BC7F61"/>
    <w:rsid w:val="00BE5078"/>
    <w:rsid w:val="00C56EC5"/>
    <w:rsid w:val="00C66D24"/>
    <w:rsid w:val="00C70093"/>
    <w:rsid w:val="00CC2471"/>
    <w:rsid w:val="00CD025C"/>
    <w:rsid w:val="00CE22E5"/>
    <w:rsid w:val="00D47576"/>
    <w:rsid w:val="00D6284A"/>
    <w:rsid w:val="00D67E20"/>
    <w:rsid w:val="00D95A6F"/>
    <w:rsid w:val="00DB406B"/>
    <w:rsid w:val="00DB628E"/>
    <w:rsid w:val="00E01AB3"/>
    <w:rsid w:val="00E12EB7"/>
    <w:rsid w:val="00E23D2E"/>
    <w:rsid w:val="00E3758F"/>
    <w:rsid w:val="00E4407C"/>
    <w:rsid w:val="00E665D5"/>
    <w:rsid w:val="00E71AA4"/>
    <w:rsid w:val="00E92063"/>
    <w:rsid w:val="00E93A5F"/>
    <w:rsid w:val="00F759EB"/>
    <w:rsid w:val="00FA1F38"/>
    <w:rsid w:val="00FA433D"/>
    <w:rsid w:val="00FA6281"/>
    <w:rsid w:val="00FC1EE1"/>
    <w:rsid w:val="00FE0BBF"/>
    <w:rsid w:val="00FE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3C45D"/>
  <w15:chartTrackingRefBased/>
  <w15:docId w15:val="{AEF74110-F83C-44F2-AA91-39A0BDB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093"/>
  </w:style>
  <w:style w:type="paragraph" w:styleId="Heading1">
    <w:name w:val="heading 1"/>
    <w:basedOn w:val="Normal"/>
    <w:next w:val="Normal"/>
    <w:link w:val="Heading1Char"/>
    <w:uiPriority w:val="9"/>
    <w:qFormat/>
    <w:rsid w:val="00763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093"/>
    <w:rPr>
      <w:rFonts w:eastAsiaTheme="majorEastAsia" w:cstheme="majorBidi"/>
      <w:color w:val="272727" w:themeColor="text1" w:themeTint="D8"/>
    </w:rPr>
  </w:style>
  <w:style w:type="paragraph" w:styleId="Title">
    <w:name w:val="Title"/>
    <w:basedOn w:val="Normal"/>
    <w:next w:val="Normal"/>
    <w:link w:val="TitleChar"/>
    <w:uiPriority w:val="10"/>
    <w:qFormat/>
    <w:rsid w:val="00763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093"/>
    <w:pPr>
      <w:spacing w:before="160"/>
      <w:jc w:val="center"/>
    </w:pPr>
    <w:rPr>
      <w:i/>
      <w:iCs/>
      <w:color w:val="404040" w:themeColor="text1" w:themeTint="BF"/>
    </w:rPr>
  </w:style>
  <w:style w:type="character" w:customStyle="1" w:styleId="QuoteChar">
    <w:name w:val="Quote Char"/>
    <w:basedOn w:val="DefaultParagraphFont"/>
    <w:link w:val="Quote"/>
    <w:uiPriority w:val="29"/>
    <w:rsid w:val="00763093"/>
    <w:rPr>
      <w:i/>
      <w:iCs/>
      <w:color w:val="404040" w:themeColor="text1" w:themeTint="BF"/>
    </w:rPr>
  </w:style>
  <w:style w:type="paragraph" w:styleId="ListParagraph">
    <w:name w:val="List Paragraph"/>
    <w:basedOn w:val="Normal"/>
    <w:uiPriority w:val="34"/>
    <w:qFormat/>
    <w:rsid w:val="00763093"/>
    <w:pPr>
      <w:ind w:left="720"/>
      <w:contextualSpacing/>
    </w:pPr>
  </w:style>
  <w:style w:type="character" w:styleId="IntenseEmphasis">
    <w:name w:val="Intense Emphasis"/>
    <w:basedOn w:val="DefaultParagraphFont"/>
    <w:uiPriority w:val="21"/>
    <w:qFormat/>
    <w:rsid w:val="00763093"/>
    <w:rPr>
      <w:i/>
      <w:iCs/>
      <w:color w:val="0F4761" w:themeColor="accent1" w:themeShade="BF"/>
    </w:rPr>
  </w:style>
  <w:style w:type="paragraph" w:styleId="IntenseQuote">
    <w:name w:val="Intense Quote"/>
    <w:basedOn w:val="Normal"/>
    <w:next w:val="Normal"/>
    <w:link w:val="IntenseQuoteChar"/>
    <w:uiPriority w:val="30"/>
    <w:qFormat/>
    <w:rsid w:val="00763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093"/>
    <w:rPr>
      <w:i/>
      <w:iCs/>
      <w:color w:val="0F4761" w:themeColor="accent1" w:themeShade="BF"/>
    </w:rPr>
  </w:style>
  <w:style w:type="character" w:styleId="IntenseReference">
    <w:name w:val="Intense Reference"/>
    <w:basedOn w:val="DefaultParagraphFont"/>
    <w:uiPriority w:val="32"/>
    <w:qFormat/>
    <w:rsid w:val="00763093"/>
    <w:rPr>
      <w:b/>
      <w:bCs/>
      <w:smallCaps/>
      <w:color w:val="0F4761" w:themeColor="accent1" w:themeShade="BF"/>
      <w:spacing w:val="5"/>
    </w:rPr>
  </w:style>
  <w:style w:type="character" w:customStyle="1" w:styleId="cf01">
    <w:name w:val="cf01"/>
    <w:basedOn w:val="DefaultParagraphFont"/>
    <w:rsid w:val="00763093"/>
    <w:rPr>
      <w:rFonts w:ascii="Segoe UI" w:hAnsi="Segoe UI" w:cs="Segoe UI" w:hint="default"/>
      <w:sz w:val="18"/>
      <w:szCs w:val="18"/>
    </w:rPr>
  </w:style>
  <w:style w:type="character" w:styleId="CommentReference">
    <w:name w:val="annotation reference"/>
    <w:basedOn w:val="DefaultParagraphFont"/>
    <w:uiPriority w:val="99"/>
    <w:semiHidden/>
    <w:unhideWhenUsed/>
    <w:rsid w:val="00763093"/>
    <w:rPr>
      <w:sz w:val="16"/>
      <w:szCs w:val="16"/>
    </w:rPr>
  </w:style>
  <w:style w:type="paragraph" w:styleId="CommentText">
    <w:name w:val="annotation text"/>
    <w:basedOn w:val="Normal"/>
    <w:link w:val="CommentTextChar"/>
    <w:uiPriority w:val="99"/>
    <w:unhideWhenUsed/>
    <w:rsid w:val="00763093"/>
    <w:pPr>
      <w:spacing w:line="240" w:lineRule="auto"/>
    </w:pPr>
    <w:rPr>
      <w:sz w:val="20"/>
      <w:szCs w:val="20"/>
    </w:rPr>
  </w:style>
  <w:style w:type="character" w:customStyle="1" w:styleId="CommentTextChar">
    <w:name w:val="Comment Text Char"/>
    <w:basedOn w:val="DefaultParagraphFont"/>
    <w:link w:val="CommentText"/>
    <w:uiPriority w:val="99"/>
    <w:rsid w:val="00763093"/>
    <w:rPr>
      <w:sz w:val="20"/>
      <w:szCs w:val="20"/>
    </w:rPr>
  </w:style>
  <w:style w:type="paragraph" w:customStyle="1" w:styleId="pf0">
    <w:name w:val="pf0"/>
    <w:basedOn w:val="Normal"/>
    <w:rsid w:val="000E400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D67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20"/>
  </w:style>
  <w:style w:type="paragraph" w:styleId="Footer">
    <w:name w:val="footer"/>
    <w:basedOn w:val="Normal"/>
    <w:link w:val="FooterChar"/>
    <w:uiPriority w:val="99"/>
    <w:unhideWhenUsed/>
    <w:rsid w:val="00D67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20"/>
  </w:style>
  <w:style w:type="paragraph" w:styleId="Revision">
    <w:name w:val="Revision"/>
    <w:hidden/>
    <w:uiPriority w:val="99"/>
    <w:semiHidden/>
    <w:rsid w:val="00316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0719">
      <w:bodyDiv w:val="1"/>
      <w:marLeft w:val="0"/>
      <w:marRight w:val="0"/>
      <w:marTop w:val="0"/>
      <w:marBottom w:val="0"/>
      <w:divBdr>
        <w:top w:val="none" w:sz="0" w:space="0" w:color="auto"/>
        <w:left w:val="none" w:sz="0" w:space="0" w:color="auto"/>
        <w:bottom w:val="none" w:sz="0" w:space="0" w:color="auto"/>
        <w:right w:val="none" w:sz="0" w:space="0" w:color="auto"/>
      </w:divBdr>
    </w:div>
    <w:div w:id="198667036">
      <w:bodyDiv w:val="1"/>
      <w:marLeft w:val="0"/>
      <w:marRight w:val="0"/>
      <w:marTop w:val="0"/>
      <w:marBottom w:val="0"/>
      <w:divBdr>
        <w:top w:val="none" w:sz="0" w:space="0" w:color="auto"/>
        <w:left w:val="none" w:sz="0" w:space="0" w:color="auto"/>
        <w:bottom w:val="none" w:sz="0" w:space="0" w:color="auto"/>
        <w:right w:val="none" w:sz="0" w:space="0" w:color="auto"/>
      </w:divBdr>
    </w:div>
    <w:div w:id="235483477">
      <w:bodyDiv w:val="1"/>
      <w:marLeft w:val="0"/>
      <w:marRight w:val="0"/>
      <w:marTop w:val="0"/>
      <w:marBottom w:val="0"/>
      <w:divBdr>
        <w:top w:val="none" w:sz="0" w:space="0" w:color="auto"/>
        <w:left w:val="none" w:sz="0" w:space="0" w:color="auto"/>
        <w:bottom w:val="none" w:sz="0" w:space="0" w:color="auto"/>
        <w:right w:val="none" w:sz="0" w:space="0" w:color="auto"/>
      </w:divBdr>
    </w:div>
    <w:div w:id="269430786">
      <w:bodyDiv w:val="1"/>
      <w:marLeft w:val="0"/>
      <w:marRight w:val="0"/>
      <w:marTop w:val="0"/>
      <w:marBottom w:val="0"/>
      <w:divBdr>
        <w:top w:val="none" w:sz="0" w:space="0" w:color="auto"/>
        <w:left w:val="none" w:sz="0" w:space="0" w:color="auto"/>
        <w:bottom w:val="none" w:sz="0" w:space="0" w:color="auto"/>
        <w:right w:val="none" w:sz="0" w:space="0" w:color="auto"/>
      </w:divBdr>
    </w:div>
    <w:div w:id="457264378">
      <w:bodyDiv w:val="1"/>
      <w:marLeft w:val="0"/>
      <w:marRight w:val="0"/>
      <w:marTop w:val="0"/>
      <w:marBottom w:val="0"/>
      <w:divBdr>
        <w:top w:val="none" w:sz="0" w:space="0" w:color="auto"/>
        <w:left w:val="none" w:sz="0" w:space="0" w:color="auto"/>
        <w:bottom w:val="none" w:sz="0" w:space="0" w:color="auto"/>
        <w:right w:val="none" w:sz="0" w:space="0" w:color="auto"/>
      </w:divBdr>
    </w:div>
    <w:div w:id="489979624">
      <w:bodyDiv w:val="1"/>
      <w:marLeft w:val="0"/>
      <w:marRight w:val="0"/>
      <w:marTop w:val="0"/>
      <w:marBottom w:val="0"/>
      <w:divBdr>
        <w:top w:val="none" w:sz="0" w:space="0" w:color="auto"/>
        <w:left w:val="none" w:sz="0" w:space="0" w:color="auto"/>
        <w:bottom w:val="none" w:sz="0" w:space="0" w:color="auto"/>
        <w:right w:val="none" w:sz="0" w:space="0" w:color="auto"/>
      </w:divBdr>
    </w:div>
    <w:div w:id="497884766">
      <w:bodyDiv w:val="1"/>
      <w:marLeft w:val="0"/>
      <w:marRight w:val="0"/>
      <w:marTop w:val="0"/>
      <w:marBottom w:val="0"/>
      <w:divBdr>
        <w:top w:val="none" w:sz="0" w:space="0" w:color="auto"/>
        <w:left w:val="none" w:sz="0" w:space="0" w:color="auto"/>
        <w:bottom w:val="none" w:sz="0" w:space="0" w:color="auto"/>
        <w:right w:val="none" w:sz="0" w:space="0" w:color="auto"/>
      </w:divBdr>
    </w:div>
    <w:div w:id="692151549">
      <w:bodyDiv w:val="1"/>
      <w:marLeft w:val="0"/>
      <w:marRight w:val="0"/>
      <w:marTop w:val="0"/>
      <w:marBottom w:val="0"/>
      <w:divBdr>
        <w:top w:val="none" w:sz="0" w:space="0" w:color="auto"/>
        <w:left w:val="none" w:sz="0" w:space="0" w:color="auto"/>
        <w:bottom w:val="none" w:sz="0" w:space="0" w:color="auto"/>
        <w:right w:val="none" w:sz="0" w:space="0" w:color="auto"/>
      </w:divBdr>
    </w:div>
    <w:div w:id="832448541">
      <w:bodyDiv w:val="1"/>
      <w:marLeft w:val="0"/>
      <w:marRight w:val="0"/>
      <w:marTop w:val="0"/>
      <w:marBottom w:val="0"/>
      <w:divBdr>
        <w:top w:val="none" w:sz="0" w:space="0" w:color="auto"/>
        <w:left w:val="none" w:sz="0" w:space="0" w:color="auto"/>
        <w:bottom w:val="none" w:sz="0" w:space="0" w:color="auto"/>
        <w:right w:val="none" w:sz="0" w:space="0" w:color="auto"/>
      </w:divBdr>
    </w:div>
    <w:div w:id="1099443711">
      <w:bodyDiv w:val="1"/>
      <w:marLeft w:val="0"/>
      <w:marRight w:val="0"/>
      <w:marTop w:val="0"/>
      <w:marBottom w:val="0"/>
      <w:divBdr>
        <w:top w:val="none" w:sz="0" w:space="0" w:color="auto"/>
        <w:left w:val="none" w:sz="0" w:space="0" w:color="auto"/>
        <w:bottom w:val="none" w:sz="0" w:space="0" w:color="auto"/>
        <w:right w:val="none" w:sz="0" w:space="0" w:color="auto"/>
      </w:divBdr>
    </w:div>
    <w:div w:id="1243372160">
      <w:bodyDiv w:val="1"/>
      <w:marLeft w:val="0"/>
      <w:marRight w:val="0"/>
      <w:marTop w:val="0"/>
      <w:marBottom w:val="0"/>
      <w:divBdr>
        <w:top w:val="none" w:sz="0" w:space="0" w:color="auto"/>
        <w:left w:val="none" w:sz="0" w:space="0" w:color="auto"/>
        <w:bottom w:val="none" w:sz="0" w:space="0" w:color="auto"/>
        <w:right w:val="none" w:sz="0" w:space="0" w:color="auto"/>
      </w:divBdr>
    </w:div>
    <w:div w:id="1313675693">
      <w:bodyDiv w:val="1"/>
      <w:marLeft w:val="0"/>
      <w:marRight w:val="0"/>
      <w:marTop w:val="0"/>
      <w:marBottom w:val="0"/>
      <w:divBdr>
        <w:top w:val="none" w:sz="0" w:space="0" w:color="auto"/>
        <w:left w:val="none" w:sz="0" w:space="0" w:color="auto"/>
        <w:bottom w:val="none" w:sz="0" w:space="0" w:color="auto"/>
        <w:right w:val="none" w:sz="0" w:space="0" w:color="auto"/>
      </w:divBdr>
    </w:div>
    <w:div w:id="1425882432">
      <w:bodyDiv w:val="1"/>
      <w:marLeft w:val="0"/>
      <w:marRight w:val="0"/>
      <w:marTop w:val="0"/>
      <w:marBottom w:val="0"/>
      <w:divBdr>
        <w:top w:val="none" w:sz="0" w:space="0" w:color="auto"/>
        <w:left w:val="none" w:sz="0" w:space="0" w:color="auto"/>
        <w:bottom w:val="none" w:sz="0" w:space="0" w:color="auto"/>
        <w:right w:val="none" w:sz="0" w:space="0" w:color="auto"/>
      </w:divBdr>
    </w:div>
    <w:div w:id="1535727844">
      <w:bodyDiv w:val="1"/>
      <w:marLeft w:val="0"/>
      <w:marRight w:val="0"/>
      <w:marTop w:val="0"/>
      <w:marBottom w:val="0"/>
      <w:divBdr>
        <w:top w:val="none" w:sz="0" w:space="0" w:color="auto"/>
        <w:left w:val="none" w:sz="0" w:space="0" w:color="auto"/>
        <w:bottom w:val="none" w:sz="0" w:space="0" w:color="auto"/>
        <w:right w:val="none" w:sz="0" w:space="0" w:color="auto"/>
      </w:divBdr>
    </w:div>
    <w:div w:id="1560482020">
      <w:bodyDiv w:val="1"/>
      <w:marLeft w:val="0"/>
      <w:marRight w:val="0"/>
      <w:marTop w:val="0"/>
      <w:marBottom w:val="0"/>
      <w:divBdr>
        <w:top w:val="none" w:sz="0" w:space="0" w:color="auto"/>
        <w:left w:val="none" w:sz="0" w:space="0" w:color="auto"/>
        <w:bottom w:val="none" w:sz="0" w:space="0" w:color="auto"/>
        <w:right w:val="none" w:sz="0" w:space="0" w:color="auto"/>
      </w:divBdr>
    </w:div>
    <w:div w:id="1665426437">
      <w:bodyDiv w:val="1"/>
      <w:marLeft w:val="0"/>
      <w:marRight w:val="0"/>
      <w:marTop w:val="0"/>
      <w:marBottom w:val="0"/>
      <w:divBdr>
        <w:top w:val="none" w:sz="0" w:space="0" w:color="auto"/>
        <w:left w:val="none" w:sz="0" w:space="0" w:color="auto"/>
        <w:bottom w:val="none" w:sz="0" w:space="0" w:color="auto"/>
        <w:right w:val="none" w:sz="0" w:space="0" w:color="auto"/>
      </w:divBdr>
    </w:div>
    <w:div w:id="1665742584">
      <w:bodyDiv w:val="1"/>
      <w:marLeft w:val="0"/>
      <w:marRight w:val="0"/>
      <w:marTop w:val="0"/>
      <w:marBottom w:val="0"/>
      <w:divBdr>
        <w:top w:val="none" w:sz="0" w:space="0" w:color="auto"/>
        <w:left w:val="none" w:sz="0" w:space="0" w:color="auto"/>
        <w:bottom w:val="none" w:sz="0" w:space="0" w:color="auto"/>
        <w:right w:val="none" w:sz="0" w:space="0" w:color="auto"/>
      </w:divBdr>
    </w:div>
    <w:div w:id="1763918219">
      <w:bodyDiv w:val="1"/>
      <w:marLeft w:val="0"/>
      <w:marRight w:val="0"/>
      <w:marTop w:val="0"/>
      <w:marBottom w:val="0"/>
      <w:divBdr>
        <w:top w:val="none" w:sz="0" w:space="0" w:color="auto"/>
        <w:left w:val="none" w:sz="0" w:space="0" w:color="auto"/>
        <w:bottom w:val="none" w:sz="0" w:space="0" w:color="auto"/>
        <w:right w:val="none" w:sz="0" w:space="0" w:color="auto"/>
      </w:divBdr>
    </w:div>
    <w:div w:id="1943562635">
      <w:bodyDiv w:val="1"/>
      <w:marLeft w:val="0"/>
      <w:marRight w:val="0"/>
      <w:marTop w:val="0"/>
      <w:marBottom w:val="0"/>
      <w:divBdr>
        <w:top w:val="none" w:sz="0" w:space="0" w:color="auto"/>
        <w:left w:val="none" w:sz="0" w:space="0" w:color="auto"/>
        <w:bottom w:val="none" w:sz="0" w:space="0" w:color="auto"/>
        <w:right w:val="none" w:sz="0" w:space="0" w:color="auto"/>
      </w:divBdr>
    </w:div>
    <w:div w:id="2007050766">
      <w:bodyDiv w:val="1"/>
      <w:marLeft w:val="0"/>
      <w:marRight w:val="0"/>
      <w:marTop w:val="0"/>
      <w:marBottom w:val="0"/>
      <w:divBdr>
        <w:top w:val="none" w:sz="0" w:space="0" w:color="auto"/>
        <w:left w:val="none" w:sz="0" w:space="0" w:color="auto"/>
        <w:bottom w:val="none" w:sz="0" w:space="0" w:color="auto"/>
        <w:right w:val="none" w:sz="0" w:space="0" w:color="auto"/>
      </w:divBdr>
    </w:div>
    <w:div w:id="2036804959">
      <w:bodyDiv w:val="1"/>
      <w:marLeft w:val="0"/>
      <w:marRight w:val="0"/>
      <w:marTop w:val="0"/>
      <w:marBottom w:val="0"/>
      <w:divBdr>
        <w:top w:val="none" w:sz="0" w:space="0" w:color="auto"/>
        <w:left w:val="none" w:sz="0" w:space="0" w:color="auto"/>
        <w:bottom w:val="none" w:sz="0" w:space="0" w:color="auto"/>
        <w:right w:val="none" w:sz="0" w:space="0" w:color="auto"/>
      </w:divBdr>
    </w:div>
    <w:div w:id="2056152413">
      <w:bodyDiv w:val="1"/>
      <w:marLeft w:val="0"/>
      <w:marRight w:val="0"/>
      <w:marTop w:val="0"/>
      <w:marBottom w:val="0"/>
      <w:divBdr>
        <w:top w:val="none" w:sz="0" w:space="0" w:color="auto"/>
        <w:left w:val="none" w:sz="0" w:space="0" w:color="auto"/>
        <w:bottom w:val="none" w:sz="0" w:space="0" w:color="auto"/>
        <w:right w:val="none" w:sz="0" w:space="0" w:color="auto"/>
      </w:divBdr>
    </w:div>
    <w:div w:id="20704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3317</Words>
  <Characters>18247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lamark</dc:creator>
  <cp:keywords/>
  <dc:description/>
  <cp:lastModifiedBy>Andres Nariño Tellez</cp:lastModifiedBy>
  <cp:revision>3</cp:revision>
  <dcterms:created xsi:type="dcterms:W3CDTF">2025-07-14T21:45:00Z</dcterms:created>
  <dcterms:modified xsi:type="dcterms:W3CDTF">2025-07-14T21:52:00Z</dcterms:modified>
</cp:coreProperties>
</file>